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EBAAC" w14:textId="77777777" w:rsidR="008A72DD" w:rsidRDefault="008A72DD" w:rsidP="00904F20">
      <w:pPr>
        <w:spacing w:after="80" w:line="240" w:lineRule="auto"/>
        <w:jc w:val="center"/>
        <w:rPr>
          <w:b/>
          <w:bCs/>
        </w:rPr>
      </w:pPr>
    </w:p>
    <w:p w14:paraId="781A0B14" w14:textId="2533688D" w:rsidR="00904F20" w:rsidRDefault="00904F20" w:rsidP="00904F20">
      <w:pPr>
        <w:spacing w:after="80" w:line="240" w:lineRule="auto"/>
        <w:jc w:val="center"/>
      </w:pPr>
      <w:r w:rsidRPr="00C960DD">
        <w:t xml:space="preserve">Office of the Provost </w:t>
      </w:r>
      <w:r w:rsidR="3D6949E7" w:rsidRPr="00C960DD">
        <w:t>and Vice</w:t>
      </w:r>
      <w:r w:rsidR="00492851" w:rsidRPr="00C960DD">
        <w:t>-</w:t>
      </w:r>
      <w:r w:rsidR="3D6949E7" w:rsidRPr="00C960DD">
        <w:t xml:space="preserve">Principal </w:t>
      </w:r>
      <w:r w:rsidRPr="00C960DD">
        <w:t>(Academic)</w:t>
      </w:r>
    </w:p>
    <w:p w14:paraId="039A80A3" w14:textId="77777777" w:rsidR="00DF06F7" w:rsidRPr="00C960DD" w:rsidRDefault="00DF06F7" w:rsidP="00904F20">
      <w:pPr>
        <w:spacing w:after="80" w:line="240" w:lineRule="auto"/>
        <w:jc w:val="center"/>
      </w:pPr>
    </w:p>
    <w:p w14:paraId="23A28864" w14:textId="729F15F4" w:rsidR="00B95884" w:rsidRDefault="00B95884" w:rsidP="00935D8A">
      <w:pPr>
        <w:jc w:val="center"/>
        <w:rPr>
          <w:b/>
          <w:bCs/>
        </w:rPr>
      </w:pPr>
      <w:r>
        <w:rPr>
          <w:b/>
          <w:bCs/>
        </w:rPr>
        <w:t xml:space="preserve">Academic Integrity </w:t>
      </w:r>
      <w:r w:rsidR="00C960DD">
        <w:rPr>
          <w:b/>
          <w:bCs/>
        </w:rPr>
        <w:t>Departure Guide for Instructors</w:t>
      </w:r>
    </w:p>
    <w:p w14:paraId="2C078E63" w14:textId="348A230B" w:rsidR="00564BFF" w:rsidRPr="009E7327" w:rsidRDefault="0020008C" w:rsidP="00382717">
      <w:pPr>
        <w:jc w:val="both"/>
        <w:rPr>
          <w:b/>
          <w:bCs/>
        </w:rPr>
      </w:pPr>
      <w:r w:rsidRPr="009E7327">
        <w:rPr>
          <w:b/>
          <w:bCs/>
        </w:rPr>
        <w:t>What is an academic integrity departure?</w:t>
      </w:r>
    </w:p>
    <w:p w14:paraId="60AA98A9" w14:textId="3FBDAF54" w:rsidR="000D58E3" w:rsidRDefault="000D58E3" w:rsidP="00382717">
      <w:pPr>
        <w:jc w:val="both"/>
      </w:pPr>
      <w:r>
        <w:t xml:space="preserve">Following the six fundamental values of </w:t>
      </w:r>
      <w:r w:rsidRPr="000D58E3">
        <w:t>honesty, trust, fairness, respect, responsibility, and courage in one’s academic work</w:t>
      </w:r>
      <w:r w:rsidR="00C11230">
        <w:t xml:space="preserve"> would </w:t>
      </w:r>
      <w:r w:rsidR="00634CA2">
        <w:t>uphold</w:t>
      </w:r>
      <w:r w:rsidR="00C11230">
        <w:t xml:space="preserve"> academic integrity (International Center for Academic Integrity, 2021). </w:t>
      </w:r>
      <w:r w:rsidR="002E24D2">
        <w:t xml:space="preserve">Consequently, any violations of these values would </w:t>
      </w:r>
      <w:r w:rsidR="00634CA2">
        <w:t>involve</w:t>
      </w:r>
      <w:r w:rsidR="002E24D2">
        <w:t xml:space="preserve"> an academic integrity departure. </w:t>
      </w:r>
      <w:r w:rsidR="00634CA2">
        <w:t xml:space="preserve">Some examples include, but </w:t>
      </w:r>
      <w:r w:rsidR="00742E86">
        <w:t xml:space="preserve">are </w:t>
      </w:r>
      <w:r w:rsidR="00634CA2">
        <w:t xml:space="preserve">not limited to, cheating on exams, plagiarism, </w:t>
      </w:r>
      <w:r w:rsidR="00D019AC">
        <w:t xml:space="preserve">sharing exam questions and answers online, facilitating </w:t>
      </w:r>
      <w:proofErr w:type="gramStart"/>
      <w:r w:rsidR="00D019AC">
        <w:t>others’</w:t>
      </w:r>
      <w:proofErr w:type="gramEnd"/>
      <w:r w:rsidR="00D019AC">
        <w:t xml:space="preserve"> </w:t>
      </w:r>
      <w:r w:rsidR="00E237A2">
        <w:t>to depart from academic integrity conventions</w:t>
      </w:r>
      <w:r w:rsidR="00D40C6A">
        <w:t>, and forging documents to attain privileges.</w:t>
      </w:r>
    </w:p>
    <w:p w14:paraId="765D4A50" w14:textId="06C8F2CA" w:rsidR="00052EF8" w:rsidRDefault="00954E70" w:rsidP="00382717">
      <w:pPr>
        <w:jc w:val="both"/>
      </w:pPr>
      <w:r w:rsidRPr="00954E70">
        <w:rPr>
          <w:b/>
          <w:bCs/>
        </w:rPr>
        <w:t>N</w:t>
      </w:r>
      <w:r w:rsidR="00052EF8" w:rsidRPr="00954E70">
        <w:rPr>
          <w:b/>
          <w:bCs/>
        </w:rPr>
        <w:t>ote:</w:t>
      </w:r>
      <w:r w:rsidR="00052EF8">
        <w:t xml:space="preserve"> </w:t>
      </w:r>
      <w:r w:rsidR="00052EF8" w:rsidRPr="00D43354">
        <w:rPr>
          <w:b/>
          <w:bCs/>
        </w:rPr>
        <w:t>Informal</w:t>
      </w:r>
      <w:r w:rsidR="00052EF8">
        <w:t xml:space="preserve"> handling of </w:t>
      </w:r>
      <w:r w:rsidR="007818B0">
        <w:t xml:space="preserve">possible </w:t>
      </w:r>
      <w:r w:rsidR="00052EF8">
        <w:t xml:space="preserve">academic integrity departures </w:t>
      </w:r>
      <w:r w:rsidR="007818B0">
        <w:t xml:space="preserve">should </w:t>
      </w:r>
      <w:r w:rsidR="007818B0" w:rsidRPr="00DA47F3">
        <w:rPr>
          <w:b/>
          <w:bCs/>
          <w:color w:val="000000" w:themeColor="text1"/>
        </w:rPr>
        <w:t>not</w:t>
      </w:r>
      <w:r w:rsidR="007818B0">
        <w:t xml:space="preserve"> be pursued</w:t>
      </w:r>
      <w:r w:rsidR="00052EF8">
        <w:t xml:space="preserve">. </w:t>
      </w:r>
      <w:r w:rsidR="003A58CF">
        <w:t>It is n</w:t>
      </w:r>
      <w:r w:rsidR="00A45672">
        <w:t xml:space="preserve">either effective nor fair to </w:t>
      </w:r>
      <w:r w:rsidR="00580D82">
        <w:t>seek</w:t>
      </w:r>
      <w:r w:rsidR="00A45672">
        <w:t xml:space="preserve"> informal ways of investigation</w:t>
      </w:r>
      <w:r w:rsidR="00F24A4C">
        <w:t>,</w:t>
      </w:r>
      <w:r w:rsidR="00A45672">
        <w:t xml:space="preserve"> remedy</w:t>
      </w:r>
      <w:r w:rsidR="00F24A4C">
        <w:t>,</w:t>
      </w:r>
      <w:r w:rsidR="00A45672">
        <w:t xml:space="preserve"> or sanction when dealing with suspected cases of academic integrity departure</w:t>
      </w:r>
      <w:r w:rsidR="00C6391E">
        <w:t xml:space="preserve">. </w:t>
      </w:r>
    </w:p>
    <w:p w14:paraId="4296F209" w14:textId="549A008A" w:rsidR="0020008C" w:rsidRPr="009E7327" w:rsidRDefault="0020008C" w:rsidP="00382717">
      <w:pPr>
        <w:jc w:val="both"/>
        <w:rPr>
          <w:b/>
          <w:bCs/>
        </w:rPr>
      </w:pPr>
      <w:r w:rsidRPr="009E7327">
        <w:rPr>
          <w:b/>
          <w:bCs/>
        </w:rPr>
        <w:t xml:space="preserve">What do I do if </w:t>
      </w:r>
      <w:r w:rsidR="00CB2D01" w:rsidRPr="009E7327">
        <w:rPr>
          <w:b/>
          <w:bCs/>
        </w:rPr>
        <w:t>I suspect an academic integrity departure in my students’ work?</w:t>
      </w:r>
    </w:p>
    <w:p w14:paraId="2FED6AE6" w14:textId="7822BA81" w:rsidR="004344FB" w:rsidRPr="00425F22" w:rsidRDefault="00903894" w:rsidP="00382717">
      <w:pPr>
        <w:pStyle w:val="ListParagraph"/>
        <w:numPr>
          <w:ilvl w:val="0"/>
          <w:numId w:val="3"/>
        </w:numPr>
        <w:jc w:val="both"/>
        <w:rPr>
          <w:b/>
          <w:bCs/>
        </w:rPr>
      </w:pPr>
      <w:r>
        <w:rPr>
          <w:b/>
          <w:bCs/>
        </w:rPr>
        <w:t xml:space="preserve">Initial </w:t>
      </w:r>
      <w:r w:rsidR="004344FB" w:rsidRPr="00425F22">
        <w:rPr>
          <w:b/>
          <w:bCs/>
        </w:rPr>
        <w:t>Investigation</w:t>
      </w:r>
    </w:p>
    <w:p w14:paraId="1535DD53" w14:textId="1FB64E7A" w:rsidR="00ED4630" w:rsidRDefault="00ED4630" w:rsidP="00382717">
      <w:pPr>
        <w:jc w:val="both"/>
      </w:pPr>
      <w:r>
        <w:t>Do not contact the student at the beginning of your investigation!</w:t>
      </w:r>
    </w:p>
    <w:p w14:paraId="33139BD4" w14:textId="4B90B2DF" w:rsidR="009E7327" w:rsidRDefault="008512C6" w:rsidP="00382717">
      <w:pPr>
        <w:pStyle w:val="ListParagraph"/>
        <w:numPr>
          <w:ilvl w:val="0"/>
          <w:numId w:val="1"/>
        </w:numPr>
        <w:jc w:val="both"/>
      </w:pPr>
      <w:r>
        <w:t>You i</w:t>
      </w:r>
      <w:r w:rsidR="00B23189">
        <w:t xml:space="preserve">nitiate the investigation of </w:t>
      </w:r>
      <w:r w:rsidR="006C147E">
        <w:t>a possible</w:t>
      </w:r>
      <w:r w:rsidR="00A944FD">
        <w:t xml:space="preserve"> departure by collecting </w:t>
      </w:r>
      <w:r w:rsidR="00E05BA1">
        <w:t>all the documents related to the case.</w:t>
      </w:r>
      <w:r w:rsidR="00FB04F8">
        <w:t xml:space="preserve"> </w:t>
      </w:r>
      <w:r w:rsidR="00A17B9A">
        <w:t>Y</w:t>
      </w:r>
      <w:r w:rsidR="00FB04F8">
        <w:t>o</w:t>
      </w:r>
      <w:r w:rsidR="006C147E">
        <w:t xml:space="preserve">u </w:t>
      </w:r>
      <w:r w:rsidR="00C960DD">
        <w:t>can</w:t>
      </w:r>
      <w:r w:rsidR="006C147E">
        <w:t xml:space="preserve"> </w:t>
      </w:r>
      <w:r w:rsidR="00A17B9A">
        <w:t xml:space="preserve">also </w:t>
      </w:r>
      <w:r w:rsidR="006C147E">
        <w:t xml:space="preserve">ask </w:t>
      </w:r>
      <w:r w:rsidR="00BD32A5">
        <w:t xml:space="preserve">for </w:t>
      </w:r>
      <w:r w:rsidR="00F16496">
        <w:t xml:space="preserve">guidance from the department chair </w:t>
      </w:r>
      <w:r w:rsidR="008B4249">
        <w:t xml:space="preserve">or director. </w:t>
      </w:r>
    </w:p>
    <w:p w14:paraId="0E16D3B4" w14:textId="3582F238" w:rsidR="008B4249" w:rsidRDefault="00C960DD" w:rsidP="00382717">
      <w:pPr>
        <w:pStyle w:val="ListParagraph"/>
        <w:numPr>
          <w:ilvl w:val="0"/>
          <w:numId w:val="1"/>
        </w:numPr>
        <w:jc w:val="both"/>
      </w:pPr>
      <w:r>
        <w:t>A</w:t>
      </w:r>
      <w:r w:rsidRPr="00C960DD">
        <w:t xml:space="preserve">fter carefully examining the </w:t>
      </w:r>
      <w:r>
        <w:t>case,</w:t>
      </w:r>
      <w:r w:rsidRPr="00C960DD">
        <w:t xml:space="preserve"> </w:t>
      </w:r>
      <w:r>
        <w:t>i</w:t>
      </w:r>
      <w:r w:rsidR="008B4249">
        <w:t>f</w:t>
      </w:r>
      <w:r w:rsidR="00A017EA">
        <w:t xml:space="preserve"> you conclude there is </w:t>
      </w:r>
      <w:r w:rsidR="008304A9">
        <w:t>insufficient</w:t>
      </w:r>
      <w:r w:rsidR="00A017EA">
        <w:t xml:space="preserve"> evidence supporting a departure from academic integrity</w:t>
      </w:r>
      <w:r w:rsidR="00B83ED8">
        <w:t>,</w:t>
      </w:r>
      <w:r w:rsidR="00F44F92">
        <w:t xml:space="preserve"> the case is dismissed. </w:t>
      </w:r>
      <w:r w:rsidR="00B83ED8">
        <w:t>Therefore, y</w:t>
      </w:r>
      <w:r w:rsidR="00F44F92">
        <w:t>ou need to destroy all the information on file</w:t>
      </w:r>
      <w:r w:rsidR="00D95284">
        <w:t>.</w:t>
      </w:r>
      <w:r w:rsidR="001E5961">
        <w:t xml:space="preserve"> No further action is required.</w:t>
      </w:r>
    </w:p>
    <w:p w14:paraId="48CBBC50" w14:textId="7CC4D3E5" w:rsidR="00D95284" w:rsidRDefault="00D95284" w:rsidP="00382717">
      <w:pPr>
        <w:pStyle w:val="ListParagraph"/>
        <w:numPr>
          <w:ilvl w:val="0"/>
          <w:numId w:val="1"/>
        </w:numPr>
        <w:jc w:val="both"/>
      </w:pPr>
      <w:r>
        <w:t>If</w:t>
      </w:r>
      <w:r w:rsidR="00BF33D0">
        <w:t xml:space="preserve"> </w:t>
      </w:r>
      <w:r>
        <w:t xml:space="preserve">you conclude that </w:t>
      </w:r>
      <w:r w:rsidR="003E7F65">
        <w:t xml:space="preserve">there is enough </w:t>
      </w:r>
      <w:r w:rsidR="00BF33D0">
        <w:t>evidence</w:t>
      </w:r>
      <w:r w:rsidR="003E7F65">
        <w:t xml:space="preserve"> </w:t>
      </w:r>
      <w:r w:rsidR="008E0909">
        <w:t>for continuing</w:t>
      </w:r>
      <w:r w:rsidR="00B85B8F">
        <w:t xml:space="preserve"> </w:t>
      </w:r>
      <w:r w:rsidR="00C422B3">
        <w:t>the</w:t>
      </w:r>
      <w:r w:rsidR="00B85B8F">
        <w:t xml:space="preserve"> investigation of an academic integrity</w:t>
      </w:r>
      <w:r>
        <w:t xml:space="preserve"> departure, </w:t>
      </w:r>
      <w:r w:rsidR="0058624A">
        <w:t xml:space="preserve">you need to notify the student using </w:t>
      </w:r>
      <w:r w:rsidR="00937FEF">
        <w:t xml:space="preserve">the </w:t>
      </w:r>
      <w:r w:rsidR="0058624A" w:rsidRPr="0058624A">
        <w:t>“Notice of Investigation of a Possible Departure from Academic Integrity” form (“the NOI”)</w:t>
      </w:r>
      <w:r w:rsidR="008B19AC">
        <w:t>.</w:t>
      </w:r>
    </w:p>
    <w:p w14:paraId="547F42FD" w14:textId="366F4D98" w:rsidR="00B60BAE" w:rsidRDefault="00396F07" w:rsidP="00382717">
      <w:pPr>
        <w:pStyle w:val="ListParagraph"/>
        <w:numPr>
          <w:ilvl w:val="0"/>
          <w:numId w:val="1"/>
        </w:numPr>
        <w:jc w:val="both"/>
      </w:pPr>
      <w:r>
        <w:t xml:space="preserve">The student needs to respond to your NOI </w:t>
      </w:r>
      <w:r w:rsidR="0042396C">
        <w:t xml:space="preserve">email within </w:t>
      </w:r>
      <w:r w:rsidR="0042396C" w:rsidRPr="00937FEF">
        <w:rPr>
          <w:b/>
          <w:bCs/>
        </w:rPr>
        <w:t>ten</w:t>
      </w:r>
      <w:r w:rsidR="0042396C">
        <w:t xml:space="preserve"> business day</w:t>
      </w:r>
      <w:r w:rsidR="00937FEF">
        <w:t>s</w:t>
      </w:r>
      <w:r w:rsidR="0042396C">
        <w:t xml:space="preserve"> of your email</w:t>
      </w:r>
      <w:r w:rsidR="007A6160">
        <w:t xml:space="preserve"> date</w:t>
      </w:r>
      <w:r w:rsidR="0042396C">
        <w:t xml:space="preserve">. In their response, they </w:t>
      </w:r>
      <w:r w:rsidR="00A255CC">
        <w:t xml:space="preserve">need to </w:t>
      </w:r>
      <w:r w:rsidR="009D475E">
        <w:t xml:space="preserve">identify whether they </w:t>
      </w:r>
      <w:r w:rsidR="007A6160">
        <w:t>have chosen</w:t>
      </w:r>
      <w:r w:rsidR="009D475E">
        <w:t xml:space="preserve"> to meet with you to discuss the </w:t>
      </w:r>
      <w:r w:rsidR="00C20822">
        <w:t xml:space="preserve">case </w:t>
      </w:r>
      <w:r w:rsidR="00C20822" w:rsidRPr="001C2C24">
        <w:rPr>
          <w:b/>
          <w:bCs/>
        </w:rPr>
        <w:t>or</w:t>
      </w:r>
      <w:r w:rsidR="00C20822">
        <w:t xml:space="preserve"> will provide a written response.</w:t>
      </w:r>
      <w:r w:rsidR="0076014A">
        <w:t xml:space="preserve"> If they </w:t>
      </w:r>
      <w:r w:rsidR="007A6160">
        <w:t>decid</w:t>
      </w:r>
      <w:r w:rsidR="0076014A">
        <w:t xml:space="preserve">e to </w:t>
      </w:r>
      <w:r w:rsidR="00736021">
        <w:t>respond in writing</w:t>
      </w:r>
      <w:r w:rsidR="0076014A">
        <w:t>, they shall do so in</w:t>
      </w:r>
      <w:r w:rsidR="00A255CC">
        <w:t xml:space="preserve"> </w:t>
      </w:r>
      <w:r w:rsidR="00A255CC" w:rsidRPr="00B235CE">
        <w:rPr>
          <w:b/>
          <w:bCs/>
        </w:rPr>
        <w:t>five</w:t>
      </w:r>
      <w:r w:rsidR="00A255CC">
        <w:t xml:space="preserve"> business day</w:t>
      </w:r>
      <w:r w:rsidR="00B235CE">
        <w:t>s</w:t>
      </w:r>
      <w:r w:rsidR="00A255CC">
        <w:t xml:space="preserve"> from the date they express </w:t>
      </w:r>
      <w:r w:rsidR="00B60BAE">
        <w:t>their decision.</w:t>
      </w:r>
    </w:p>
    <w:p w14:paraId="223D7113" w14:textId="40746AAD" w:rsidR="008B19AC" w:rsidRDefault="0076014A" w:rsidP="00382717">
      <w:pPr>
        <w:pStyle w:val="ListParagraph"/>
        <w:numPr>
          <w:ilvl w:val="0"/>
          <w:numId w:val="1"/>
        </w:numPr>
        <w:jc w:val="both"/>
      </w:pPr>
      <w:r>
        <w:t xml:space="preserve"> </w:t>
      </w:r>
      <w:r w:rsidR="000614B6">
        <w:t>If the student wishes to meet with you</w:t>
      </w:r>
      <w:r w:rsidR="00216EBC">
        <w:t xml:space="preserve">, you need to decide whether the meeting shall be in person, </w:t>
      </w:r>
      <w:r w:rsidR="00000CCE">
        <w:t xml:space="preserve">by phone, or </w:t>
      </w:r>
      <w:r w:rsidR="00B235CE">
        <w:t>audio/video conferencing</w:t>
      </w:r>
      <w:r w:rsidR="00000CCE">
        <w:t>. You also need to ask if anyone will accompany the student to the meeting.</w:t>
      </w:r>
    </w:p>
    <w:p w14:paraId="42C6916B" w14:textId="407730DB" w:rsidR="005630DC" w:rsidRDefault="00A009E4" w:rsidP="00382717">
      <w:pPr>
        <w:pStyle w:val="ListParagraph"/>
        <w:numPr>
          <w:ilvl w:val="0"/>
          <w:numId w:val="1"/>
        </w:numPr>
        <w:jc w:val="both"/>
      </w:pPr>
      <w:r>
        <w:t xml:space="preserve">Schedule a meeting as soon as possible. </w:t>
      </w:r>
      <w:r w:rsidR="00D003D5">
        <w:t>“</w:t>
      </w:r>
      <w:r w:rsidR="00D003D5" w:rsidRPr="00D003D5">
        <w:t>The student has the right to know what material will be considered, and that at the meeting, the student will have the opportunity to respond to the evidence related to the alleged departure.</w:t>
      </w:r>
      <w:r w:rsidR="00D003D5">
        <w:t>”</w:t>
      </w:r>
      <w:r w:rsidR="004D26D5">
        <w:t xml:space="preserve"> </w:t>
      </w:r>
      <w:bookmarkStart w:id="0" w:name="_Hlk74735693"/>
      <w:r w:rsidR="00D003D5">
        <w:t>(</w:t>
      </w:r>
      <w:hyperlink r:id="rId11" w:history="1">
        <w:r w:rsidR="0054306E" w:rsidRPr="00790BB9">
          <w:rPr>
            <w:rStyle w:val="Hyperlink"/>
          </w:rPr>
          <w:t>Academic Integrity Procedures</w:t>
        </w:r>
        <w:r w:rsidR="00096AE6" w:rsidRPr="00790BB9">
          <w:rPr>
            <w:rStyle w:val="Hyperlink"/>
          </w:rPr>
          <w:t xml:space="preserve">-Requirements </w:t>
        </w:r>
        <w:r w:rsidR="00544616">
          <w:rPr>
            <w:rStyle w:val="Hyperlink"/>
          </w:rPr>
          <w:t>of</w:t>
        </w:r>
        <w:r w:rsidR="00096AE6" w:rsidRPr="00790BB9">
          <w:rPr>
            <w:rStyle w:val="Hyperlink"/>
          </w:rPr>
          <w:t xml:space="preserve"> Faculties &amp; Schools</w:t>
        </w:r>
      </w:hyperlink>
      <w:r w:rsidR="00D003D5">
        <w:t>)</w:t>
      </w:r>
      <w:bookmarkEnd w:id="0"/>
    </w:p>
    <w:p w14:paraId="5E80899D" w14:textId="3C4FB943" w:rsidR="0054306E" w:rsidRDefault="006211A3" w:rsidP="00382717">
      <w:pPr>
        <w:ind w:left="360"/>
        <w:jc w:val="both"/>
      </w:pPr>
      <w:r>
        <w:lastRenderedPageBreak/>
        <w:t>The student may have a support person at the meeting</w:t>
      </w:r>
      <w:r w:rsidR="005B44A1">
        <w:t xml:space="preserve"> for emotional support</w:t>
      </w:r>
      <w:r>
        <w:t xml:space="preserve"> who is </w:t>
      </w:r>
      <w:r w:rsidRPr="00BD105E">
        <w:rPr>
          <w:b/>
          <w:bCs/>
        </w:rPr>
        <w:t>not</w:t>
      </w:r>
      <w:r>
        <w:t xml:space="preserve"> involved with the case discussion</w:t>
      </w:r>
      <w:r w:rsidR="005B44A1">
        <w:t xml:space="preserve">. </w:t>
      </w:r>
      <w:r w:rsidR="00915C53">
        <w:t>The instructor may have an advisor at the meeting</w:t>
      </w:r>
      <w:r w:rsidR="0063681C">
        <w:t xml:space="preserve"> who may chair the meeting and provide procedural clarifications</w:t>
      </w:r>
      <w:r w:rsidR="00A80F58">
        <w:t>.</w:t>
      </w:r>
    </w:p>
    <w:p w14:paraId="2441A2B8" w14:textId="29508BF8" w:rsidR="00B514CC" w:rsidRDefault="00271014" w:rsidP="00B514CC">
      <w:pPr>
        <w:pStyle w:val="ListParagraph"/>
        <w:numPr>
          <w:ilvl w:val="0"/>
          <w:numId w:val="2"/>
        </w:numPr>
        <w:spacing w:before="120"/>
        <w:jc w:val="both"/>
      </w:pPr>
      <w:r>
        <w:t xml:space="preserve">If the student elects to respond in written form, they have </w:t>
      </w:r>
      <w:r w:rsidRPr="00B235CE">
        <w:rPr>
          <w:b/>
          <w:bCs/>
        </w:rPr>
        <w:t>five</w:t>
      </w:r>
      <w:r>
        <w:t xml:space="preserve"> business days</w:t>
      </w:r>
      <w:r w:rsidR="00FB71F8">
        <w:t xml:space="preserve"> after </w:t>
      </w:r>
      <w:r w:rsidR="00642BD5">
        <w:t>submitting their response to NOI</w:t>
      </w:r>
      <w:r w:rsidR="00FB71F8">
        <w:t>.</w:t>
      </w:r>
      <w:r>
        <w:t xml:space="preserve"> </w:t>
      </w:r>
      <w:r w:rsidR="00E33A3D">
        <w:t xml:space="preserve">The response shall </w:t>
      </w:r>
      <w:r w:rsidR="00BD1627">
        <w:t>“</w:t>
      </w:r>
      <w:r w:rsidR="00BD1627" w:rsidRPr="00BD1627">
        <w:t>include a detailed explanation of the student’s case and all relevant documents in the student’s possession on which they intend to rely</w:t>
      </w:r>
      <w:r w:rsidR="00811EE6">
        <w:t xml:space="preserve">” </w:t>
      </w:r>
      <w:hyperlink r:id="rId12" w:history="1">
        <w:r w:rsidR="00811EE6" w:rsidRPr="00B514CC">
          <w:rPr>
            <w:rStyle w:val="Hyperlink"/>
          </w:rPr>
          <w:t>(Academic Integrity Procedures</w:t>
        </w:r>
        <w:r w:rsidR="000B706C" w:rsidRPr="00B514CC">
          <w:rPr>
            <w:rStyle w:val="Hyperlink"/>
          </w:rPr>
          <w:t>-Requirements of Faculties and Schools</w:t>
        </w:r>
      </w:hyperlink>
      <w:r w:rsidR="00811EE6" w:rsidRPr="00811EE6">
        <w:t>)</w:t>
      </w:r>
      <w:r w:rsidR="001837F8">
        <w:t>.</w:t>
      </w:r>
      <w:r w:rsidR="001B1D7B">
        <w:t xml:space="preserve"> </w:t>
      </w:r>
    </w:p>
    <w:p w14:paraId="32DA112C" w14:textId="77777777" w:rsidR="00B91FB3" w:rsidRPr="00903894" w:rsidRDefault="00B91FB3" w:rsidP="00B514CC">
      <w:pPr>
        <w:pStyle w:val="ListParagraph"/>
        <w:numPr>
          <w:ilvl w:val="0"/>
          <w:numId w:val="3"/>
        </w:numPr>
        <w:spacing w:before="120"/>
        <w:jc w:val="both"/>
        <w:rPr>
          <w:b/>
          <w:bCs/>
        </w:rPr>
      </w:pPr>
      <w:r w:rsidRPr="00903894">
        <w:rPr>
          <w:b/>
          <w:bCs/>
        </w:rPr>
        <w:t xml:space="preserve">Final Investigation </w:t>
      </w:r>
    </w:p>
    <w:p w14:paraId="09BC0B45" w14:textId="72D1996D" w:rsidR="00E322A8" w:rsidRDefault="00093148" w:rsidP="00382717">
      <w:pPr>
        <w:ind w:left="360"/>
        <w:jc w:val="both"/>
      </w:pPr>
      <w:r>
        <w:t xml:space="preserve">After the meeting or after receiving a written response from the student, if you find any further information about the case, you shall disclose the new evidence to the student and give them the option to respond to </w:t>
      </w:r>
      <w:r w:rsidR="00B91FB3">
        <w:t>them.</w:t>
      </w:r>
    </w:p>
    <w:p w14:paraId="6DF7DFA2" w14:textId="4E708691" w:rsidR="00B91FB3" w:rsidRPr="00903894" w:rsidRDefault="00903894" w:rsidP="00382717">
      <w:pPr>
        <w:pStyle w:val="ListParagraph"/>
        <w:numPr>
          <w:ilvl w:val="0"/>
          <w:numId w:val="3"/>
        </w:numPr>
        <w:jc w:val="both"/>
        <w:rPr>
          <w:b/>
          <w:bCs/>
        </w:rPr>
      </w:pPr>
      <w:r w:rsidRPr="00903894">
        <w:rPr>
          <w:b/>
          <w:bCs/>
        </w:rPr>
        <w:t>Decision-Making</w:t>
      </w:r>
    </w:p>
    <w:p w14:paraId="4DE74776" w14:textId="0457BC97" w:rsidR="00903894" w:rsidRDefault="00466218" w:rsidP="00382717">
      <w:pPr>
        <w:ind w:left="360"/>
        <w:jc w:val="both"/>
      </w:pPr>
      <w:r>
        <w:t>Based on the</w:t>
      </w:r>
      <w:r w:rsidR="00F42B70">
        <w:t xml:space="preserve"> academic integrity applicable policies and </w:t>
      </w:r>
      <w:r w:rsidR="00A5529E">
        <w:t xml:space="preserve">rules, evidence, and arguments </w:t>
      </w:r>
      <w:r w:rsidR="00D7219D">
        <w:t xml:space="preserve">with the student and their assessment of the case, the instructor will decide </w:t>
      </w:r>
      <w:proofErr w:type="gramStart"/>
      <w:r w:rsidR="00D7219D">
        <w:t>whether or not</w:t>
      </w:r>
      <w:proofErr w:type="gramEnd"/>
      <w:r w:rsidR="00D7219D">
        <w:t xml:space="preserve"> a departure </w:t>
      </w:r>
      <w:r w:rsidR="0047692B">
        <w:t>from</w:t>
      </w:r>
      <w:r w:rsidR="00D7219D">
        <w:t xml:space="preserve"> academic integrity occurred. </w:t>
      </w:r>
    </w:p>
    <w:p w14:paraId="72274D9C" w14:textId="42CB3DAB" w:rsidR="00404DA8" w:rsidRDefault="00404DA8" w:rsidP="00382717">
      <w:pPr>
        <w:pStyle w:val="ListParagraph"/>
        <w:numPr>
          <w:ilvl w:val="0"/>
          <w:numId w:val="4"/>
        </w:numPr>
        <w:jc w:val="both"/>
      </w:pPr>
      <w:r>
        <w:t xml:space="preserve">If </w:t>
      </w:r>
      <w:r w:rsidR="00197CE7">
        <w:t xml:space="preserve">the decision is that </w:t>
      </w:r>
      <w:r>
        <w:t>an academic integrity departure</w:t>
      </w:r>
      <w:r w:rsidR="00197CE7">
        <w:t xml:space="preserve"> has not </w:t>
      </w:r>
      <w:r w:rsidR="00EA42C2">
        <w:t>occurred</w:t>
      </w:r>
      <w:r w:rsidR="00197CE7">
        <w:t>, the case will be dismissed</w:t>
      </w:r>
      <w:r w:rsidR="00C004D2">
        <w:t xml:space="preserve">. The instructor needs to </w:t>
      </w:r>
      <w:r w:rsidR="00D31DFD">
        <w:t xml:space="preserve">submit a </w:t>
      </w:r>
      <w:r w:rsidR="00D31DFD" w:rsidRPr="00D31DFD">
        <w:t>“Notice of Dismissal of Alleged Departure from Academic Integrity”</w:t>
      </w:r>
      <w:r w:rsidR="00B01823">
        <w:t xml:space="preserve"> using the template</w:t>
      </w:r>
      <w:r w:rsidR="00372398">
        <w:t xml:space="preserve"> to the student</w:t>
      </w:r>
      <w:r w:rsidR="001F7D0A">
        <w:t>. T</w:t>
      </w:r>
      <w:r w:rsidR="00372398">
        <w:t xml:space="preserve">he </w:t>
      </w:r>
      <w:r w:rsidR="00EB45D3">
        <w:t xml:space="preserve">instructor then needs to </w:t>
      </w:r>
      <w:r w:rsidR="0061093E">
        <w:t>forward an</w:t>
      </w:r>
      <w:r w:rsidR="00FE6FA4">
        <w:t xml:space="preserve"> anonymized version of the dismissal form to the</w:t>
      </w:r>
      <w:r w:rsidR="00EB45D3">
        <w:t xml:space="preserve"> </w:t>
      </w:r>
      <w:r w:rsidR="00B01823">
        <w:t>faculty</w:t>
      </w:r>
      <w:r w:rsidR="00372398">
        <w:t>/school Academic Integrity Administrator</w:t>
      </w:r>
      <w:r w:rsidR="00FE6FA4">
        <w:t xml:space="preserve"> for reporting purposes</w:t>
      </w:r>
      <w:proofErr w:type="gramStart"/>
      <w:r w:rsidR="00372398">
        <w:t xml:space="preserve">. </w:t>
      </w:r>
      <w:r w:rsidR="00B01823">
        <w:t xml:space="preserve"> </w:t>
      </w:r>
      <w:proofErr w:type="gramEnd"/>
    </w:p>
    <w:p w14:paraId="3603CB5B" w14:textId="12870C9F" w:rsidR="005705DD" w:rsidRDefault="00843C5C" w:rsidP="00382717">
      <w:pPr>
        <w:pStyle w:val="ListParagraph"/>
        <w:numPr>
          <w:ilvl w:val="0"/>
          <w:numId w:val="4"/>
        </w:numPr>
        <w:jc w:val="both"/>
      </w:pPr>
      <w:r>
        <w:t xml:space="preserve">After reviewing the evidence and student’s response, using </w:t>
      </w:r>
      <w:r w:rsidR="00CF3519">
        <w:t xml:space="preserve">a </w:t>
      </w:r>
      <w:r>
        <w:t xml:space="preserve">balance of probability, </w:t>
      </w:r>
      <w:r w:rsidR="007832E7">
        <w:t xml:space="preserve">if </w:t>
      </w:r>
      <w:r>
        <w:t xml:space="preserve">the instructor decides that a departure </w:t>
      </w:r>
      <w:r w:rsidR="07A58223">
        <w:t>from</w:t>
      </w:r>
      <w:r>
        <w:t xml:space="preserve"> academic integrity occurred</w:t>
      </w:r>
      <w:r w:rsidR="00861D8C">
        <w:t>,</w:t>
      </w:r>
      <w:r>
        <w:t xml:space="preserve"> they need to fill out the </w:t>
      </w:r>
      <w:r w:rsidRPr="00843C5C">
        <w:t>“Finding of a Departure from Academic Integrity” form</w:t>
      </w:r>
      <w:r>
        <w:t>.</w:t>
      </w:r>
    </w:p>
    <w:p w14:paraId="1AD3F873" w14:textId="6A1BB979" w:rsidR="0004291E" w:rsidRDefault="00D30C57" w:rsidP="00382717">
      <w:pPr>
        <w:pStyle w:val="ListParagraph"/>
        <w:numPr>
          <w:ilvl w:val="0"/>
          <w:numId w:val="5"/>
        </w:numPr>
        <w:ind w:left="1170"/>
        <w:jc w:val="both"/>
      </w:pPr>
      <w:r>
        <w:t xml:space="preserve">The instructor </w:t>
      </w:r>
      <w:r w:rsidR="004F2472">
        <w:t>contact</w:t>
      </w:r>
      <w:r w:rsidR="00ED29DD">
        <w:t>s</w:t>
      </w:r>
      <w:r>
        <w:t xml:space="preserve"> the faculty/school Academic Integrity Administrator </w:t>
      </w:r>
      <w:r w:rsidR="00ED29DD">
        <w:t>informing</w:t>
      </w:r>
      <w:r w:rsidR="004F2472">
        <w:t xml:space="preserve"> them </w:t>
      </w:r>
      <w:r w:rsidR="00ED29DD">
        <w:t>of the</w:t>
      </w:r>
      <w:r w:rsidR="004F2472">
        <w:t xml:space="preserve"> departure from academic </w:t>
      </w:r>
      <w:proofErr w:type="gramStart"/>
      <w:r w:rsidR="004F2472">
        <w:t>integrity</w:t>
      </w:r>
      <w:r w:rsidR="00571B88">
        <w:t>,</w:t>
      </w:r>
      <w:r w:rsidR="00D6458A">
        <w:t xml:space="preserve"> and</w:t>
      </w:r>
      <w:proofErr w:type="gramEnd"/>
      <w:r w:rsidR="00D6458A">
        <w:t xml:space="preserve"> </w:t>
      </w:r>
      <w:r w:rsidR="00ED29DD">
        <w:t>inquires</w:t>
      </w:r>
      <w:r w:rsidR="004A61AD">
        <w:t xml:space="preserve"> whether a previous academic integrity departure record exists on the student’s file. If there is a record of academic integrity departure, the existing departure is categorized as </w:t>
      </w:r>
      <w:r w:rsidR="004A61AD" w:rsidRPr="00A364F0">
        <w:rPr>
          <w:b/>
          <w:bCs/>
        </w:rPr>
        <w:t>level II</w:t>
      </w:r>
      <w:r w:rsidR="004A61AD">
        <w:t xml:space="preserve"> departure</w:t>
      </w:r>
      <w:r w:rsidR="00164AF4">
        <w:t xml:space="preserve"> on the finding form.</w:t>
      </w:r>
      <w:r w:rsidR="00F74D64">
        <w:t xml:space="preserve"> The case, then, shall be referred to the faculty/school </w:t>
      </w:r>
      <w:r w:rsidR="00A727DC">
        <w:t xml:space="preserve">for </w:t>
      </w:r>
      <w:r w:rsidR="0004291E">
        <w:t>the remedy and/or sanction.</w:t>
      </w:r>
    </w:p>
    <w:p w14:paraId="1B6B8E9E" w14:textId="5D00385D" w:rsidR="003972B8" w:rsidRDefault="00E428F2" w:rsidP="00382717">
      <w:pPr>
        <w:pStyle w:val="ListParagraph"/>
        <w:numPr>
          <w:ilvl w:val="0"/>
          <w:numId w:val="5"/>
        </w:numPr>
        <w:ind w:left="1170"/>
        <w:jc w:val="both"/>
      </w:pPr>
      <w:r>
        <w:t>If the faculty/</w:t>
      </w:r>
      <w:r w:rsidR="00E878FB">
        <w:t>school Academic Integrity Administrator</w:t>
      </w:r>
      <w:r w:rsidR="00164AF4">
        <w:t xml:space="preserve"> </w:t>
      </w:r>
      <w:r w:rsidR="00E878FB">
        <w:t xml:space="preserve">informs the instructor </w:t>
      </w:r>
      <w:r w:rsidR="0010569F">
        <w:t xml:space="preserve">that there is no prior record of academic integrity departure for the student, the instructor </w:t>
      </w:r>
      <w:r w:rsidR="00401F46">
        <w:t>decides on a remedy or sanction from the ones available to the instructor (</w:t>
      </w:r>
      <w:hyperlink r:id="rId13" w:history="1">
        <w:r w:rsidR="00401F46" w:rsidRPr="003F0E28">
          <w:rPr>
            <w:rStyle w:val="Hyperlink"/>
          </w:rPr>
          <w:t>Section</w:t>
        </w:r>
        <w:r w:rsidR="00D6458A" w:rsidRPr="003F0E28">
          <w:rPr>
            <w:rStyle w:val="Hyperlink"/>
          </w:rPr>
          <w:t xml:space="preserve"> </w:t>
        </w:r>
        <w:r w:rsidR="00E766D9" w:rsidRPr="003F0E28">
          <w:rPr>
            <w:rStyle w:val="Hyperlink"/>
          </w:rPr>
          <w:t>3.4.2</w:t>
        </w:r>
      </w:hyperlink>
      <w:r w:rsidR="00E766D9">
        <w:t>) or refer</w:t>
      </w:r>
      <w:r w:rsidR="005325C7">
        <w:t xml:space="preserve">s to the </w:t>
      </w:r>
      <w:r w:rsidR="005325C7" w:rsidRPr="005325C7">
        <w:t>Faculty/School AI Lead</w:t>
      </w:r>
      <w:r w:rsidR="005325C7">
        <w:t xml:space="preserve"> for de</w:t>
      </w:r>
      <w:r w:rsidR="00316440">
        <w:t>termin</w:t>
      </w:r>
      <w:r w:rsidR="005325C7">
        <w:t xml:space="preserve">ing the </w:t>
      </w:r>
      <w:r w:rsidR="0034364A">
        <w:t xml:space="preserve">proper sanction and remedy. </w:t>
      </w:r>
    </w:p>
    <w:p w14:paraId="0565A4D1" w14:textId="4AB33929" w:rsidR="00ED3920" w:rsidRDefault="003972B8" w:rsidP="00382717">
      <w:pPr>
        <w:pStyle w:val="ListParagraph"/>
        <w:numPr>
          <w:ilvl w:val="0"/>
          <w:numId w:val="5"/>
        </w:numPr>
        <w:ind w:left="1170"/>
        <w:jc w:val="both"/>
      </w:pPr>
      <w:r>
        <w:t xml:space="preserve">If the instructor decides to proceed with </w:t>
      </w:r>
      <w:r w:rsidR="008003D0">
        <w:t xml:space="preserve">a remedy and sanction, they need to </w:t>
      </w:r>
      <w:r w:rsidR="009163BC">
        <w:t xml:space="preserve">exercise </w:t>
      </w:r>
      <w:r w:rsidR="00625211">
        <w:t xml:space="preserve">so by being </w:t>
      </w:r>
      <w:r w:rsidR="00B92913">
        <w:t>“</w:t>
      </w:r>
      <w:r w:rsidR="00625211">
        <w:t>fair, reasonable,</w:t>
      </w:r>
      <w:r w:rsidR="00E57D53">
        <w:t>”</w:t>
      </w:r>
      <w:r w:rsidR="00625211">
        <w:t xml:space="preserve"> and </w:t>
      </w:r>
      <w:r w:rsidR="00C3494F">
        <w:t>choos</w:t>
      </w:r>
      <w:r w:rsidR="00625211">
        <w:t>ing a remedy and</w:t>
      </w:r>
      <w:r w:rsidR="00C3494F">
        <w:t>/or</w:t>
      </w:r>
      <w:r w:rsidR="00625211">
        <w:t xml:space="preserve"> sanction </w:t>
      </w:r>
      <w:r w:rsidR="00E57D53">
        <w:t>“</w:t>
      </w:r>
      <w:r w:rsidR="00625211">
        <w:t xml:space="preserve">proportionate </w:t>
      </w:r>
      <w:r w:rsidR="00C23AC7">
        <w:t>to the gravity of the departure</w:t>
      </w:r>
      <w:r w:rsidR="00504F88">
        <w:t xml:space="preserve"> </w:t>
      </w:r>
      <w:r w:rsidR="00BE2D82">
        <w:t>found.</w:t>
      </w:r>
      <w:r w:rsidR="00E57D53">
        <w:t>”</w:t>
      </w:r>
      <w:r w:rsidR="00C23AC7">
        <w:t xml:space="preserve"> </w:t>
      </w:r>
      <w:r w:rsidR="00C23AC7" w:rsidRPr="00C23AC7">
        <w:t>(</w:t>
      </w:r>
      <w:hyperlink r:id="rId14" w:history="1">
        <w:r w:rsidR="00C23AC7" w:rsidRPr="009D4576">
          <w:rPr>
            <w:rStyle w:val="Hyperlink"/>
          </w:rPr>
          <w:t xml:space="preserve">Section </w:t>
        </w:r>
        <w:r w:rsidR="00350D54" w:rsidRPr="009D4576">
          <w:rPr>
            <w:rStyle w:val="Hyperlink"/>
          </w:rPr>
          <w:t>3.4.1</w:t>
        </w:r>
      </w:hyperlink>
      <w:r w:rsidR="00C23AC7" w:rsidRPr="00C23AC7">
        <w:t>)</w:t>
      </w:r>
    </w:p>
    <w:p w14:paraId="519C8DE1" w14:textId="222EAD2F" w:rsidR="00D95838" w:rsidRDefault="00D95838" w:rsidP="00E53736">
      <w:pPr>
        <w:pStyle w:val="ListParagraph"/>
        <w:numPr>
          <w:ilvl w:val="0"/>
          <w:numId w:val="6"/>
        </w:numPr>
        <w:ind w:left="1350" w:hanging="180"/>
        <w:jc w:val="both"/>
      </w:pPr>
      <w:r>
        <w:t>Some factors to consider in deciding on the remedy and sanction:</w:t>
      </w:r>
    </w:p>
    <w:p w14:paraId="5051C489" w14:textId="77777777" w:rsidR="009808A9" w:rsidRDefault="009808A9" w:rsidP="00E53736">
      <w:pPr>
        <w:pStyle w:val="ListParagraph"/>
        <w:ind w:left="1350" w:hanging="180"/>
        <w:jc w:val="both"/>
      </w:pPr>
      <w:r>
        <w:t>•</w:t>
      </w:r>
      <w:r>
        <w:tab/>
        <w:t xml:space="preserve">the extent and seriousness of the </w:t>
      </w:r>
      <w:proofErr w:type="gramStart"/>
      <w:r>
        <w:t>departure;</w:t>
      </w:r>
      <w:proofErr w:type="gramEnd"/>
    </w:p>
    <w:p w14:paraId="6BEDA664" w14:textId="77777777" w:rsidR="009808A9" w:rsidRDefault="009808A9" w:rsidP="00E53736">
      <w:pPr>
        <w:pStyle w:val="ListParagraph"/>
        <w:ind w:left="1350" w:hanging="180"/>
        <w:jc w:val="both"/>
      </w:pPr>
      <w:r>
        <w:lastRenderedPageBreak/>
        <w:t>•</w:t>
      </w:r>
      <w:r>
        <w:tab/>
        <w:t xml:space="preserve">any educational measures that may be undertaken to ensure that the student understands the departure and what should have been the appropriate conduct in such </w:t>
      </w:r>
      <w:proofErr w:type="gramStart"/>
      <w:r>
        <w:t>circumstances;</w:t>
      </w:r>
      <w:proofErr w:type="gramEnd"/>
    </w:p>
    <w:p w14:paraId="17153661" w14:textId="77777777" w:rsidR="009808A9" w:rsidRDefault="009808A9" w:rsidP="00E53736">
      <w:pPr>
        <w:pStyle w:val="ListParagraph"/>
        <w:ind w:left="1350" w:hanging="180"/>
        <w:jc w:val="both"/>
      </w:pPr>
      <w:r>
        <w:t>•</w:t>
      </w:r>
      <w:r>
        <w:tab/>
        <w:t xml:space="preserve">the value of the academic work in relation to the overall grade for the </w:t>
      </w:r>
      <w:proofErr w:type="gramStart"/>
      <w:r>
        <w:t>course;</w:t>
      </w:r>
      <w:proofErr w:type="gramEnd"/>
    </w:p>
    <w:p w14:paraId="23D3D805" w14:textId="77777777" w:rsidR="009808A9" w:rsidRDefault="009808A9" w:rsidP="00E53736">
      <w:pPr>
        <w:pStyle w:val="ListParagraph"/>
        <w:ind w:left="1350" w:hanging="180"/>
        <w:jc w:val="both"/>
      </w:pPr>
      <w:r>
        <w:t>•</w:t>
      </w:r>
      <w:r>
        <w:tab/>
        <w:t>the experience of the student (for example, a first-year or an upper-year student; a student experienced in the discipline or a student in an elective course</w:t>
      </w:r>
      <w:proofErr w:type="gramStart"/>
      <w:r>
        <w:t>);</w:t>
      </w:r>
      <w:proofErr w:type="gramEnd"/>
    </w:p>
    <w:p w14:paraId="1112F4D0" w14:textId="77777777" w:rsidR="009808A9" w:rsidRDefault="009808A9" w:rsidP="00E53736">
      <w:pPr>
        <w:pStyle w:val="ListParagraph"/>
        <w:ind w:left="1350" w:hanging="180"/>
        <w:jc w:val="both"/>
      </w:pPr>
      <w:r>
        <w:t>•</w:t>
      </w:r>
      <w:r>
        <w:tab/>
        <w:t>any mitigating and/or aggravating circumstances; and</w:t>
      </w:r>
    </w:p>
    <w:p w14:paraId="73B6ACFA" w14:textId="3561B014" w:rsidR="00F33CED" w:rsidRDefault="009808A9" w:rsidP="00E53736">
      <w:pPr>
        <w:pStyle w:val="ListParagraph"/>
        <w:ind w:left="1350" w:hanging="180"/>
        <w:jc w:val="both"/>
      </w:pPr>
      <w:r>
        <w:t>•</w:t>
      </w:r>
      <w:r>
        <w:tab/>
        <w:t>possible direct injury to another student or the institution.</w:t>
      </w:r>
    </w:p>
    <w:p w14:paraId="7FACB911" w14:textId="49B7B935" w:rsidR="001C7362" w:rsidRDefault="001C7362" w:rsidP="00382717">
      <w:pPr>
        <w:pStyle w:val="ListParagraph"/>
        <w:ind w:left="1980"/>
        <w:jc w:val="both"/>
      </w:pPr>
      <w:r>
        <w:t xml:space="preserve">(Verbatim from the </w:t>
      </w:r>
      <w:hyperlink r:id="rId15" w:history="1">
        <w:r w:rsidR="00504F88" w:rsidRPr="00504F88">
          <w:rPr>
            <w:rStyle w:val="Hyperlink"/>
          </w:rPr>
          <w:t xml:space="preserve">Academic Integrity </w:t>
        </w:r>
        <w:r w:rsidR="00D630C4" w:rsidRPr="00504F88">
          <w:rPr>
            <w:rStyle w:val="Hyperlink"/>
          </w:rPr>
          <w:t>Procedures</w:t>
        </w:r>
      </w:hyperlink>
      <w:r w:rsidR="00D630C4">
        <w:t>—</w:t>
      </w:r>
      <w:r>
        <w:t xml:space="preserve">Section </w:t>
      </w:r>
      <w:r w:rsidR="009A63C4">
        <w:t>3.4.1</w:t>
      </w:r>
      <w:r>
        <w:t>)</w:t>
      </w:r>
    </w:p>
    <w:p w14:paraId="3FA68A5B" w14:textId="77777777" w:rsidR="007C17C2" w:rsidRDefault="00866528" w:rsidP="00382717">
      <w:pPr>
        <w:pStyle w:val="ListParagraph"/>
        <w:numPr>
          <w:ilvl w:val="0"/>
          <w:numId w:val="5"/>
        </w:numPr>
        <w:spacing w:before="120"/>
        <w:ind w:left="1166"/>
        <w:jc w:val="both"/>
      </w:pPr>
      <w:r>
        <w:t>Ran</w:t>
      </w:r>
      <w:r w:rsidR="00985CA1">
        <w:t>ge of remedies and sanctions available to the instructor:</w:t>
      </w:r>
    </w:p>
    <w:p w14:paraId="7101F72E" w14:textId="56EC3B29" w:rsidR="00AA1E3A" w:rsidRPr="007C17C2" w:rsidRDefault="00AA1E3A" w:rsidP="00382717">
      <w:pPr>
        <w:jc w:val="both"/>
      </w:pPr>
      <w:r w:rsidRPr="007C17C2">
        <w:rPr>
          <w:rFonts w:eastAsia="Times New Roman" w:cs="Arial"/>
          <w:szCs w:val="24"/>
        </w:rPr>
        <w:t>The instructor may impose one or more of a range of remedies or sanctions</w:t>
      </w:r>
      <w:r w:rsidR="005D2629" w:rsidRPr="007C17C2">
        <w:rPr>
          <w:rFonts w:eastAsia="Times New Roman" w:cs="Arial"/>
          <w:szCs w:val="24"/>
        </w:rPr>
        <w:t>,</w:t>
      </w:r>
      <w:r w:rsidRPr="007C17C2">
        <w:rPr>
          <w:rFonts w:eastAsia="Times New Roman" w:cs="Arial"/>
          <w:szCs w:val="24"/>
        </w:rPr>
        <w:t xml:space="preserve"> including:</w:t>
      </w:r>
    </w:p>
    <w:p w14:paraId="737487EF" w14:textId="77777777" w:rsidR="00AA1E3A" w:rsidRPr="00AA1E3A" w:rsidRDefault="00AA1E3A" w:rsidP="00382717">
      <w:pPr>
        <w:numPr>
          <w:ilvl w:val="0"/>
          <w:numId w:val="7"/>
        </w:numPr>
        <w:spacing w:after="0" w:line="240" w:lineRule="auto"/>
        <w:jc w:val="both"/>
        <w:rPr>
          <w:rFonts w:eastAsia="Times New Roman" w:cs="Arial"/>
          <w:szCs w:val="24"/>
        </w:rPr>
      </w:pPr>
      <w:r w:rsidRPr="00AA1E3A">
        <w:rPr>
          <w:rFonts w:eastAsia="Times New Roman" w:cs="Arial"/>
          <w:szCs w:val="24"/>
        </w:rPr>
        <w:t xml:space="preserve">an oral or written warning that such infractions constitute unacceptable </w:t>
      </w:r>
      <w:proofErr w:type="gramStart"/>
      <w:r w:rsidRPr="00AA1E3A">
        <w:rPr>
          <w:rFonts w:eastAsia="Times New Roman" w:cs="Arial"/>
          <w:szCs w:val="24"/>
        </w:rPr>
        <w:t>behaviour;</w:t>
      </w:r>
      <w:proofErr w:type="gramEnd"/>
    </w:p>
    <w:p w14:paraId="588FCF23" w14:textId="77777777" w:rsidR="00AA1E3A" w:rsidRPr="00AA1E3A" w:rsidRDefault="00AA1E3A" w:rsidP="00382717">
      <w:pPr>
        <w:numPr>
          <w:ilvl w:val="0"/>
          <w:numId w:val="7"/>
        </w:numPr>
        <w:spacing w:after="0" w:line="240" w:lineRule="auto"/>
        <w:jc w:val="both"/>
        <w:rPr>
          <w:rFonts w:eastAsia="Times New Roman" w:cs="Arial"/>
          <w:szCs w:val="24"/>
        </w:rPr>
      </w:pPr>
      <w:r w:rsidRPr="00AA1E3A">
        <w:rPr>
          <w:rFonts w:eastAsia="Times New Roman" w:cs="Arial"/>
          <w:szCs w:val="24"/>
        </w:rPr>
        <w:t xml:space="preserve">a learning experience involving rewriting or revising the original work within a stipulated period of </w:t>
      </w:r>
      <w:proofErr w:type="gramStart"/>
      <w:r w:rsidRPr="00AA1E3A">
        <w:rPr>
          <w:rFonts w:eastAsia="Times New Roman" w:cs="Arial"/>
          <w:szCs w:val="24"/>
        </w:rPr>
        <w:t>time;</w:t>
      </w:r>
      <w:proofErr w:type="gramEnd"/>
    </w:p>
    <w:p w14:paraId="200A6089" w14:textId="77777777" w:rsidR="00AA1E3A" w:rsidRPr="00AA1E3A" w:rsidRDefault="00AA1E3A" w:rsidP="00382717">
      <w:pPr>
        <w:numPr>
          <w:ilvl w:val="0"/>
          <w:numId w:val="7"/>
        </w:numPr>
        <w:spacing w:after="0" w:line="240" w:lineRule="auto"/>
        <w:jc w:val="both"/>
        <w:rPr>
          <w:rFonts w:eastAsia="Times New Roman" w:cs="Arial"/>
          <w:szCs w:val="24"/>
        </w:rPr>
      </w:pPr>
      <w:r w:rsidRPr="00AA1E3A">
        <w:rPr>
          <w:rFonts w:eastAsia="Times New Roman" w:cs="Arial"/>
          <w:szCs w:val="24"/>
        </w:rPr>
        <w:t xml:space="preserve">the submission of new or other work within a stipulated period of </w:t>
      </w:r>
      <w:proofErr w:type="gramStart"/>
      <w:r w:rsidRPr="00AA1E3A">
        <w:rPr>
          <w:rFonts w:eastAsia="Times New Roman" w:cs="Arial"/>
          <w:szCs w:val="24"/>
        </w:rPr>
        <w:t>time;</w:t>
      </w:r>
      <w:proofErr w:type="gramEnd"/>
    </w:p>
    <w:p w14:paraId="4926340C" w14:textId="26317A03" w:rsidR="00AA1E3A" w:rsidRPr="00AA1E3A" w:rsidRDefault="00AA1E3A" w:rsidP="00382717">
      <w:pPr>
        <w:numPr>
          <w:ilvl w:val="0"/>
          <w:numId w:val="7"/>
        </w:numPr>
        <w:spacing w:after="0" w:line="240" w:lineRule="auto"/>
        <w:jc w:val="both"/>
        <w:rPr>
          <w:rFonts w:eastAsia="Times New Roman" w:cs="Arial"/>
          <w:szCs w:val="24"/>
        </w:rPr>
      </w:pPr>
      <w:r w:rsidRPr="00AA1E3A">
        <w:rPr>
          <w:rFonts w:eastAsia="Times New Roman" w:cs="Arial"/>
          <w:szCs w:val="24"/>
        </w:rPr>
        <w:t xml:space="preserve">the deduction of </w:t>
      </w:r>
      <w:r w:rsidR="005D2629">
        <w:rPr>
          <w:rFonts w:eastAsia="Times New Roman" w:cs="Arial"/>
          <w:szCs w:val="24"/>
        </w:rPr>
        <w:t xml:space="preserve">a </w:t>
      </w:r>
      <w:r w:rsidRPr="00AA1E3A">
        <w:rPr>
          <w:rFonts w:eastAsia="Times New Roman" w:cs="Arial"/>
          <w:szCs w:val="24"/>
        </w:rPr>
        <w:t xml:space="preserve">partial or total loss of marks for the work, assignment or </w:t>
      </w:r>
      <w:proofErr w:type="gramStart"/>
      <w:r w:rsidRPr="00AA1E3A">
        <w:rPr>
          <w:rFonts w:eastAsia="Times New Roman" w:cs="Arial"/>
          <w:szCs w:val="24"/>
        </w:rPr>
        <w:t>exam;</w:t>
      </w:r>
      <w:proofErr w:type="gramEnd"/>
      <w:r w:rsidRPr="00AA1E3A">
        <w:rPr>
          <w:rFonts w:eastAsia="Times New Roman" w:cs="Arial"/>
          <w:szCs w:val="24"/>
        </w:rPr>
        <w:t xml:space="preserve"> </w:t>
      </w:r>
    </w:p>
    <w:p w14:paraId="59A786C0" w14:textId="77777777" w:rsidR="00AA1E3A" w:rsidRPr="00AA1E3A" w:rsidRDefault="00AA1E3A" w:rsidP="00382717">
      <w:pPr>
        <w:numPr>
          <w:ilvl w:val="0"/>
          <w:numId w:val="7"/>
        </w:numPr>
        <w:spacing w:after="0" w:line="240" w:lineRule="auto"/>
        <w:jc w:val="both"/>
        <w:rPr>
          <w:rFonts w:eastAsia="Times New Roman" w:cs="Arial"/>
          <w:szCs w:val="24"/>
        </w:rPr>
      </w:pPr>
      <w:r w:rsidRPr="00AA1E3A">
        <w:rPr>
          <w:rFonts w:eastAsia="Times New Roman" w:cs="Arial"/>
          <w:szCs w:val="24"/>
        </w:rPr>
        <w:t>a deduction of a percentage of the final grade in the course; or</w:t>
      </w:r>
    </w:p>
    <w:p w14:paraId="0AE95E27" w14:textId="57F18828" w:rsidR="00AA1E3A" w:rsidRPr="00AA1E3A" w:rsidRDefault="00AA1E3A" w:rsidP="00382717">
      <w:pPr>
        <w:numPr>
          <w:ilvl w:val="0"/>
          <w:numId w:val="7"/>
        </w:numPr>
        <w:spacing w:after="0" w:line="240" w:lineRule="auto"/>
        <w:jc w:val="both"/>
        <w:rPr>
          <w:rFonts w:eastAsia="Times New Roman" w:cs="Arial"/>
          <w:szCs w:val="24"/>
        </w:rPr>
      </w:pPr>
      <w:r w:rsidRPr="00AA1E3A">
        <w:rPr>
          <w:rFonts w:eastAsia="Times New Roman" w:cs="Arial"/>
          <w:szCs w:val="24"/>
        </w:rPr>
        <w:t xml:space="preserve">a failing grade (down to a grade of zero) in the course. </w:t>
      </w:r>
      <w:r w:rsidRPr="009C7E13">
        <w:rPr>
          <w:rFonts w:eastAsia="Times New Roman" w:cs="Arial"/>
          <w:szCs w:val="24"/>
        </w:rPr>
        <w:t>(</w:t>
      </w:r>
      <w:hyperlink r:id="rId16" w:history="1">
        <w:r w:rsidRPr="00BF0FCE">
          <w:rPr>
            <w:rStyle w:val="Hyperlink"/>
            <w:rFonts w:eastAsia="Times New Roman" w:cs="Arial"/>
            <w:szCs w:val="24"/>
          </w:rPr>
          <w:t>Academic Integrity Procedure</w:t>
        </w:r>
      </w:hyperlink>
      <w:r w:rsidRPr="009C7E13">
        <w:rPr>
          <w:rFonts w:eastAsia="Times New Roman" w:cs="Arial"/>
          <w:szCs w:val="24"/>
        </w:rPr>
        <w:t xml:space="preserve"> – Section 3.4.</w:t>
      </w:r>
      <w:r w:rsidR="00B0408C" w:rsidRPr="009C7E13">
        <w:rPr>
          <w:rFonts w:eastAsia="Times New Roman" w:cs="Arial"/>
          <w:szCs w:val="24"/>
        </w:rPr>
        <w:t>2</w:t>
      </w:r>
      <w:r w:rsidRPr="009C7E13">
        <w:rPr>
          <w:rFonts w:eastAsia="Times New Roman" w:cs="Arial"/>
          <w:szCs w:val="24"/>
        </w:rPr>
        <w:t>)</w:t>
      </w:r>
    </w:p>
    <w:p w14:paraId="707911D2" w14:textId="77777777" w:rsidR="007C17C2" w:rsidRDefault="007C17C2" w:rsidP="00382717">
      <w:pPr>
        <w:jc w:val="both"/>
        <w:rPr>
          <w:b/>
          <w:bCs/>
        </w:rPr>
      </w:pPr>
    </w:p>
    <w:p w14:paraId="30E8B5B6" w14:textId="56DF6FF6" w:rsidR="00D95838" w:rsidRDefault="00AA1E3A" w:rsidP="00382717">
      <w:pPr>
        <w:jc w:val="both"/>
      </w:pPr>
      <w:r w:rsidRPr="00B07A3C">
        <w:rPr>
          <w:b/>
          <w:bCs/>
        </w:rPr>
        <w:t>Note:</w:t>
      </w:r>
      <w:r>
        <w:t xml:space="preserve"> </w:t>
      </w:r>
      <w:r w:rsidR="0050208E">
        <w:t xml:space="preserve">The remedy and/or sanction need to be proportionate to the gravity of the academic integrity departure and consistent with previous remedies and sanctions </w:t>
      </w:r>
      <w:r w:rsidR="007F07EC">
        <w:t>rendered</w:t>
      </w:r>
      <w:r w:rsidR="0050208E">
        <w:t xml:space="preserve"> for </w:t>
      </w:r>
      <w:r w:rsidR="00B07A3C">
        <w:t xml:space="preserve">similar cases. </w:t>
      </w:r>
    </w:p>
    <w:p w14:paraId="5237C167" w14:textId="7EF98CC5" w:rsidR="009E7327" w:rsidRPr="00C011C5" w:rsidRDefault="007107CD" w:rsidP="00382717">
      <w:pPr>
        <w:jc w:val="both"/>
        <w:rPr>
          <w:b/>
          <w:bCs/>
        </w:rPr>
      </w:pPr>
      <w:r w:rsidRPr="00C011C5">
        <w:rPr>
          <w:b/>
          <w:bCs/>
        </w:rPr>
        <w:t>Guidelines for Rendering Remedies and Sanctions:</w:t>
      </w:r>
    </w:p>
    <w:p w14:paraId="196EF6DD" w14:textId="312EC825" w:rsidR="00AA4C69" w:rsidRDefault="00057AED" w:rsidP="00382717">
      <w:pPr>
        <w:pStyle w:val="ListParagraph"/>
        <w:numPr>
          <w:ilvl w:val="0"/>
          <w:numId w:val="7"/>
        </w:numPr>
        <w:jc w:val="both"/>
      </w:pPr>
      <w:r>
        <w:t>B</w:t>
      </w:r>
      <w:r w:rsidR="00AA4C69">
        <w:t>e</w:t>
      </w:r>
      <w:r w:rsidR="00271806">
        <w:t>ar</w:t>
      </w:r>
      <w:r w:rsidR="00AA4C69">
        <w:t xml:space="preserve"> in mind </w:t>
      </w:r>
      <w:r w:rsidR="00271806">
        <w:t xml:space="preserve">that </w:t>
      </w:r>
      <w:r w:rsidR="00AA4C69">
        <w:t xml:space="preserve">cultural differences </w:t>
      </w:r>
      <w:r w:rsidR="007D5956">
        <w:t>may cause different practices o</w:t>
      </w:r>
      <w:r w:rsidR="00C33F8A">
        <w:t>f</w:t>
      </w:r>
      <w:r w:rsidR="00271806">
        <w:t xml:space="preserve"> citation and</w:t>
      </w:r>
      <w:r w:rsidR="003A0D7D">
        <w:t xml:space="preserve"> what constitutes</w:t>
      </w:r>
      <w:r w:rsidR="00271806">
        <w:t xml:space="preserve"> common knowledge.</w:t>
      </w:r>
    </w:p>
    <w:p w14:paraId="61ECFE49" w14:textId="7209EFAB" w:rsidR="00AA4C69" w:rsidRDefault="00057AED" w:rsidP="00382717">
      <w:pPr>
        <w:pStyle w:val="ListParagraph"/>
        <w:numPr>
          <w:ilvl w:val="0"/>
          <w:numId w:val="7"/>
        </w:numPr>
        <w:jc w:val="both"/>
      </w:pPr>
      <w:r>
        <w:t>Consider EDII issues related to bias and perception of bias</w:t>
      </w:r>
      <w:r w:rsidR="00C011C5">
        <w:t>.</w:t>
      </w:r>
    </w:p>
    <w:p w14:paraId="469A51E2" w14:textId="6C7F3E3F" w:rsidR="007107CD" w:rsidRDefault="00057AED" w:rsidP="00382717">
      <w:pPr>
        <w:pStyle w:val="ListParagraph"/>
        <w:numPr>
          <w:ilvl w:val="0"/>
          <w:numId w:val="7"/>
        </w:numPr>
        <w:jc w:val="both"/>
      </w:pPr>
      <w:r>
        <w:t>Use an EDII lens in</w:t>
      </w:r>
      <w:r w:rsidR="003A0D7D">
        <w:t xml:space="preserve"> </w:t>
      </w:r>
      <w:r>
        <w:t>consideration of mitigating factors</w:t>
      </w:r>
      <w:r w:rsidR="00C011C5">
        <w:t>.</w:t>
      </w:r>
    </w:p>
    <w:p w14:paraId="70381192" w14:textId="259A8AD2" w:rsidR="00551DE2" w:rsidRDefault="00551DE2" w:rsidP="00382717">
      <w:pPr>
        <w:pStyle w:val="ListParagraph"/>
        <w:numPr>
          <w:ilvl w:val="0"/>
          <w:numId w:val="7"/>
        </w:numPr>
        <w:jc w:val="both"/>
      </w:pPr>
      <w:r>
        <w:t>Sometimes, the borderline between appropriate and inappropriate collaboration becomes blurry</w:t>
      </w:r>
      <w:r w:rsidR="005D5FF3">
        <w:t>. Thus, in</w:t>
      </w:r>
      <w:r w:rsidR="00024382">
        <w:t>structors can use these opportunities to educate students on expected and beneficial co</w:t>
      </w:r>
      <w:r w:rsidR="0043167D">
        <w:t>ope</w:t>
      </w:r>
      <w:r w:rsidR="00024382">
        <w:t>ration and unacceptable collaboration in such cases</w:t>
      </w:r>
      <w:r w:rsidR="000679E0">
        <w:t>.</w:t>
      </w:r>
    </w:p>
    <w:p w14:paraId="6B08BC1D" w14:textId="66C7EAF7" w:rsidR="000679E0" w:rsidRDefault="001505CA" w:rsidP="00382717">
      <w:pPr>
        <w:pStyle w:val="ListParagraph"/>
        <w:numPr>
          <w:ilvl w:val="0"/>
          <w:numId w:val="7"/>
        </w:numPr>
        <w:jc w:val="both"/>
      </w:pPr>
      <w:r>
        <w:t xml:space="preserve">Considering the impacts of the departure can help </w:t>
      </w:r>
      <w:r w:rsidR="00024382">
        <w:t>decid</w:t>
      </w:r>
      <w:r w:rsidR="0043167D">
        <w:t>e</w:t>
      </w:r>
      <w:r w:rsidR="00EC74B4">
        <w:t xml:space="preserve"> </w:t>
      </w:r>
      <w:r>
        <w:t>the sanction.</w:t>
      </w:r>
      <w:r w:rsidR="00A100F2">
        <w:rPr>
          <w:rStyle w:val="FootnoteReference"/>
        </w:rPr>
        <w:footnoteReference w:id="1"/>
      </w:r>
      <w:r w:rsidR="002A6E77">
        <w:t xml:space="preserve"> </w:t>
      </w:r>
      <w:r>
        <w:t xml:space="preserve">For example, </w:t>
      </w:r>
      <w:r w:rsidR="001B5B9F">
        <w:t xml:space="preserve">a departure might only impact the student’s academic progress while another departure can impact </w:t>
      </w:r>
      <w:r w:rsidR="002A6E77">
        <w:t xml:space="preserve">fairness to all the students, yet some </w:t>
      </w:r>
      <w:r w:rsidR="0043167D">
        <w:t>infractions</w:t>
      </w:r>
      <w:r w:rsidR="002A6E77">
        <w:t xml:space="preserve"> may affect the community. </w:t>
      </w:r>
    </w:p>
    <w:p w14:paraId="39D80F45" w14:textId="4FA1A0F2" w:rsidR="00131B01" w:rsidRPr="001275E0" w:rsidRDefault="00131B01" w:rsidP="00382717">
      <w:pPr>
        <w:jc w:val="both"/>
        <w:rPr>
          <w:b/>
          <w:bCs/>
        </w:rPr>
      </w:pPr>
      <w:r w:rsidRPr="001275E0">
        <w:rPr>
          <w:b/>
          <w:bCs/>
        </w:rPr>
        <w:lastRenderedPageBreak/>
        <w:t xml:space="preserve">Guidelines for </w:t>
      </w:r>
      <w:r w:rsidR="002F7EB7" w:rsidRPr="001275E0">
        <w:rPr>
          <w:b/>
          <w:bCs/>
        </w:rPr>
        <w:t>Categorizing</w:t>
      </w:r>
      <w:r w:rsidRPr="001275E0">
        <w:rPr>
          <w:b/>
          <w:bCs/>
        </w:rPr>
        <w:t xml:space="preserve"> the Level of Departure</w:t>
      </w:r>
      <w:r w:rsidR="006D12E7">
        <w:rPr>
          <w:rStyle w:val="FootnoteReference"/>
          <w:b/>
          <w:bCs/>
        </w:rPr>
        <w:footnoteReference w:id="2"/>
      </w:r>
      <w:r w:rsidRPr="001275E0">
        <w:rPr>
          <w:b/>
          <w:bCs/>
        </w:rPr>
        <w:t>:</w:t>
      </w:r>
    </w:p>
    <w:p w14:paraId="3CFF0BDA" w14:textId="47478D5C" w:rsidR="001275E0" w:rsidRDefault="00244A52" w:rsidP="00382717">
      <w:pPr>
        <w:jc w:val="both"/>
      </w:pPr>
      <w:r w:rsidRPr="00244A52">
        <w:t xml:space="preserve">The </w:t>
      </w:r>
      <w:hyperlink r:id="rId17" w:history="1">
        <w:r w:rsidRPr="00831707">
          <w:rPr>
            <w:rStyle w:val="Hyperlink"/>
          </w:rPr>
          <w:t xml:space="preserve">Academic Integrity Procedures – Requirements </w:t>
        </w:r>
        <w:r w:rsidR="00831707" w:rsidRPr="00831707">
          <w:rPr>
            <w:rStyle w:val="Hyperlink"/>
          </w:rPr>
          <w:t>of</w:t>
        </w:r>
        <w:r w:rsidRPr="00831707">
          <w:rPr>
            <w:rStyle w:val="Hyperlink"/>
          </w:rPr>
          <w:t xml:space="preserve"> Faculties and Schools</w:t>
        </w:r>
      </w:hyperlink>
      <w:r w:rsidRPr="00244A52">
        <w:t xml:space="preserve"> </w:t>
      </w:r>
      <w:r w:rsidR="00831707">
        <w:t>provides</w:t>
      </w:r>
      <w:r w:rsidRPr="00244A52">
        <w:t xml:space="preserve"> two levels of departure: Level I and Level II.  </w:t>
      </w:r>
      <w:r w:rsidR="00101E04">
        <w:t xml:space="preserve">Here are some directing considerations for each </w:t>
      </w:r>
      <w:r w:rsidR="0043167D">
        <w:t>group</w:t>
      </w:r>
      <w:r w:rsidR="00101E04">
        <w:t xml:space="preserve">. These </w:t>
      </w:r>
      <w:r w:rsidR="00601A08">
        <w:t xml:space="preserve">considerations are suggestions, and each case merits its judgement. </w:t>
      </w:r>
    </w:p>
    <w:p w14:paraId="0632918D" w14:textId="18BA453E" w:rsidR="002F7EB7" w:rsidRPr="00244A52" w:rsidRDefault="005D7EFB" w:rsidP="00382717">
      <w:pPr>
        <w:jc w:val="both"/>
        <w:rPr>
          <w:u w:val="single"/>
        </w:rPr>
      </w:pPr>
      <w:r w:rsidRPr="00244A52">
        <w:rPr>
          <w:u w:val="single"/>
        </w:rPr>
        <w:t>Level I</w:t>
      </w:r>
      <w:r w:rsidR="003355E9" w:rsidRPr="00244A52">
        <w:rPr>
          <w:u w:val="single"/>
        </w:rPr>
        <w:t>:</w:t>
      </w:r>
    </w:p>
    <w:p w14:paraId="104650D9" w14:textId="5D50DCAC" w:rsidR="003355E9" w:rsidRDefault="003355E9" w:rsidP="00382717">
      <w:pPr>
        <w:pStyle w:val="ListParagraph"/>
        <w:numPr>
          <w:ilvl w:val="0"/>
          <w:numId w:val="9"/>
        </w:numPr>
        <w:jc w:val="both"/>
      </w:pPr>
      <w:r>
        <w:t xml:space="preserve">The </w:t>
      </w:r>
      <w:r w:rsidR="000D3779">
        <w:t>student’s</w:t>
      </w:r>
      <w:r>
        <w:t xml:space="preserve"> status</w:t>
      </w:r>
      <w:r w:rsidR="000D3779">
        <w:t>. First</w:t>
      </w:r>
      <w:r w:rsidR="00342D92">
        <w:t>-</w:t>
      </w:r>
      <w:r w:rsidR="000D3779">
        <w:t xml:space="preserve">year students and students new to the field might have had fewer opportunities to learn about academic </w:t>
      </w:r>
      <w:r w:rsidR="005D7EFB">
        <w:t xml:space="preserve">integrity conventions. </w:t>
      </w:r>
    </w:p>
    <w:p w14:paraId="6E363ACA" w14:textId="0BEC7469" w:rsidR="005D7EFB" w:rsidRDefault="005D7EFB" w:rsidP="00382717">
      <w:pPr>
        <w:pStyle w:val="ListParagraph"/>
        <w:numPr>
          <w:ilvl w:val="0"/>
          <w:numId w:val="9"/>
        </w:numPr>
        <w:jc w:val="both"/>
      </w:pPr>
      <w:r>
        <w:t xml:space="preserve">The </w:t>
      </w:r>
      <w:r w:rsidR="00F24001">
        <w:t>first-time</w:t>
      </w:r>
      <w:r>
        <w:t xml:space="preserve"> departures.</w:t>
      </w:r>
    </w:p>
    <w:p w14:paraId="48F6EDFA" w14:textId="599198DA" w:rsidR="005D7EFB" w:rsidRDefault="00342D92" w:rsidP="00382717">
      <w:pPr>
        <w:pStyle w:val="ListParagraph"/>
        <w:numPr>
          <w:ilvl w:val="0"/>
          <w:numId w:val="9"/>
        </w:numPr>
        <w:jc w:val="both"/>
      </w:pPr>
      <w:r>
        <w:t>T</w:t>
      </w:r>
      <w:r w:rsidR="00101E04">
        <w:t xml:space="preserve">he departure does not constitute a </w:t>
      </w:r>
      <w:r>
        <w:t>significant</w:t>
      </w:r>
      <w:r w:rsidR="00101E04">
        <w:t xml:space="preserve"> portion of the course grade</w:t>
      </w:r>
      <w:r w:rsidR="00244A52">
        <w:t>.</w:t>
      </w:r>
    </w:p>
    <w:p w14:paraId="219CF478" w14:textId="77777777" w:rsidR="001275E0" w:rsidRDefault="00745B7C" w:rsidP="00382717">
      <w:pPr>
        <w:pStyle w:val="ListParagraph"/>
        <w:numPr>
          <w:ilvl w:val="0"/>
          <w:numId w:val="9"/>
        </w:numPr>
        <w:jc w:val="both"/>
      </w:pPr>
      <w:r>
        <w:t>The sanction for the departure does not</w:t>
      </w:r>
      <w:r w:rsidR="001275E0">
        <w:t xml:space="preserve"> necessarily cause a failure in the course. </w:t>
      </w:r>
    </w:p>
    <w:p w14:paraId="508F9986" w14:textId="77777777" w:rsidR="00244A52" w:rsidRPr="00244A52" w:rsidRDefault="001275E0" w:rsidP="00382717">
      <w:pPr>
        <w:jc w:val="both"/>
        <w:rPr>
          <w:u w:val="single"/>
        </w:rPr>
      </w:pPr>
      <w:r w:rsidRPr="00244A52">
        <w:rPr>
          <w:u w:val="single"/>
        </w:rPr>
        <w:t>Level II:</w:t>
      </w:r>
    </w:p>
    <w:p w14:paraId="59767145" w14:textId="36D28B33" w:rsidR="00244A52" w:rsidRDefault="00244A52" w:rsidP="00382717">
      <w:pPr>
        <w:pStyle w:val="ListParagraph"/>
        <w:numPr>
          <w:ilvl w:val="0"/>
          <w:numId w:val="10"/>
        </w:numPr>
        <w:jc w:val="both"/>
      </w:pPr>
      <w:r>
        <w:t>The departure is a subsequent departure by the student</w:t>
      </w:r>
      <w:r w:rsidR="001A7E04">
        <w:t>.</w:t>
      </w:r>
    </w:p>
    <w:p w14:paraId="60C14A83" w14:textId="67F468B6" w:rsidR="00101E04" w:rsidRDefault="005A1DFD" w:rsidP="00382717">
      <w:pPr>
        <w:pStyle w:val="ListParagraph"/>
        <w:numPr>
          <w:ilvl w:val="0"/>
          <w:numId w:val="10"/>
        </w:numPr>
        <w:jc w:val="both"/>
      </w:pPr>
      <w:r>
        <w:t xml:space="preserve">The harms of the departure are </w:t>
      </w:r>
      <w:r w:rsidR="00342D92">
        <w:t>significant,</w:t>
      </w:r>
      <w:r>
        <w:t xml:space="preserve"> such as unfairness to other students or </w:t>
      </w:r>
      <w:r w:rsidR="0043167D">
        <w:t>considerable</w:t>
      </w:r>
      <w:r w:rsidR="00AB5CB5">
        <w:t xml:space="preserve"> </w:t>
      </w:r>
      <w:r>
        <w:t xml:space="preserve">damage to </w:t>
      </w:r>
      <w:r w:rsidR="00AB5CB5">
        <w:t>professionalism</w:t>
      </w:r>
      <w:r w:rsidR="00F045FF">
        <w:t xml:space="preserve"> or </w:t>
      </w:r>
      <w:r w:rsidR="00342D92">
        <w:t xml:space="preserve">the </w:t>
      </w:r>
      <w:r w:rsidR="00F045FF">
        <w:t>university</w:t>
      </w:r>
      <w:r w:rsidR="00A70E7A">
        <w:t>’s integrity</w:t>
      </w:r>
      <w:r w:rsidR="00AB5CB5">
        <w:t xml:space="preserve">. In such cases, the case is </w:t>
      </w:r>
      <w:r w:rsidR="00E1499F">
        <w:t>referred to the faculty or school for sanctions and remedies.</w:t>
      </w:r>
    </w:p>
    <w:p w14:paraId="78510EF4" w14:textId="63443993" w:rsidR="00AB5CB5" w:rsidRDefault="00E1499F" w:rsidP="00382717">
      <w:pPr>
        <w:pStyle w:val="ListParagraph"/>
        <w:numPr>
          <w:ilvl w:val="0"/>
          <w:numId w:val="10"/>
        </w:numPr>
        <w:jc w:val="both"/>
      </w:pPr>
      <w:r>
        <w:t xml:space="preserve">The work constitutes a significant portion of the course grade. </w:t>
      </w:r>
    </w:p>
    <w:p w14:paraId="4B61BB1B" w14:textId="4632F4AD" w:rsidR="00C51056" w:rsidRDefault="00C51056" w:rsidP="00382717">
      <w:pPr>
        <w:pStyle w:val="ListParagraph"/>
        <w:numPr>
          <w:ilvl w:val="0"/>
          <w:numId w:val="10"/>
        </w:numPr>
        <w:jc w:val="both"/>
      </w:pPr>
      <w:r>
        <w:t>The sanction can result in failure in the course.</w:t>
      </w:r>
    </w:p>
    <w:p w14:paraId="1A7A912C" w14:textId="33523A16" w:rsidR="00C51056" w:rsidRDefault="00342D92" w:rsidP="00382717">
      <w:pPr>
        <w:pStyle w:val="ListParagraph"/>
        <w:numPr>
          <w:ilvl w:val="0"/>
          <w:numId w:val="10"/>
        </w:numPr>
        <w:jc w:val="both"/>
      </w:pPr>
      <w:r>
        <w:t>The s</w:t>
      </w:r>
      <w:r w:rsidR="00E2622D">
        <w:t>tudent is at higher years of their program, for example</w:t>
      </w:r>
      <w:r>
        <w:t>,</w:t>
      </w:r>
      <w:r w:rsidR="00E2622D">
        <w:t xml:space="preserve"> fourth</w:t>
      </w:r>
      <w:r>
        <w:t>-</w:t>
      </w:r>
      <w:r w:rsidR="00E2622D">
        <w:t xml:space="preserve">year students. </w:t>
      </w:r>
    </w:p>
    <w:p w14:paraId="4269FFA2" w14:textId="6B2587A9" w:rsidR="00E2622D" w:rsidRDefault="000914A3" w:rsidP="00382717">
      <w:pPr>
        <w:pStyle w:val="ListParagraph"/>
        <w:numPr>
          <w:ilvl w:val="0"/>
          <w:numId w:val="10"/>
        </w:numPr>
        <w:jc w:val="both"/>
      </w:pPr>
      <w:r>
        <w:t xml:space="preserve">Significant use of unacknowledged </w:t>
      </w:r>
      <w:r w:rsidR="000E3BF3">
        <w:t>resources.</w:t>
      </w:r>
    </w:p>
    <w:p w14:paraId="19D241D4" w14:textId="4704080B" w:rsidR="000E3BF3" w:rsidRDefault="000E3BF3" w:rsidP="00382717">
      <w:pPr>
        <w:pStyle w:val="ListParagraph"/>
        <w:numPr>
          <w:ilvl w:val="0"/>
          <w:numId w:val="10"/>
        </w:numPr>
        <w:jc w:val="both"/>
      </w:pPr>
      <w:r>
        <w:t>Multiple departure</w:t>
      </w:r>
      <w:r w:rsidR="001A7E04">
        <w:t xml:space="preserve"> types</w:t>
      </w:r>
      <w:r>
        <w:t xml:space="preserve"> </w:t>
      </w:r>
      <w:r w:rsidR="00E005AE">
        <w:t xml:space="preserve">are included </w:t>
      </w:r>
      <w:r>
        <w:t>in one case.</w:t>
      </w:r>
    </w:p>
    <w:p w14:paraId="256C93E7" w14:textId="5511DAAD" w:rsidR="000E3BF3" w:rsidRDefault="0046177E" w:rsidP="00382717">
      <w:pPr>
        <w:pStyle w:val="ListParagraph"/>
        <w:numPr>
          <w:ilvl w:val="0"/>
          <w:numId w:val="10"/>
        </w:numPr>
        <w:jc w:val="both"/>
      </w:pPr>
      <w:r>
        <w:t xml:space="preserve">It has </w:t>
      </w:r>
      <w:r w:rsidR="00E005AE">
        <w:t xml:space="preserve">a </w:t>
      </w:r>
      <w:r>
        <w:t>direct negative impact on other students</w:t>
      </w:r>
      <w:r w:rsidR="00E005AE">
        <w:t>,</w:t>
      </w:r>
      <w:r>
        <w:t xml:space="preserve"> such as </w:t>
      </w:r>
      <w:r w:rsidR="004D25AB">
        <w:t>stealing other students’ academic work.</w:t>
      </w:r>
    </w:p>
    <w:p w14:paraId="1902BF65" w14:textId="497A2593" w:rsidR="00C17362" w:rsidRPr="007900BB" w:rsidRDefault="00C17362" w:rsidP="00382717">
      <w:pPr>
        <w:jc w:val="both"/>
        <w:rPr>
          <w:b/>
          <w:bCs/>
        </w:rPr>
      </w:pPr>
      <w:r w:rsidRPr="007900BB">
        <w:rPr>
          <w:b/>
          <w:bCs/>
        </w:rPr>
        <w:t>Some Considerations for Faculties and Schools:</w:t>
      </w:r>
    </w:p>
    <w:p w14:paraId="6E00480C" w14:textId="29F7290B" w:rsidR="00C17362" w:rsidRDefault="007C55AB" w:rsidP="00382717">
      <w:pPr>
        <w:pStyle w:val="ListParagraph"/>
        <w:numPr>
          <w:ilvl w:val="0"/>
          <w:numId w:val="8"/>
        </w:numPr>
        <w:jc w:val="both"/>
      </w:pPr>
      <w:r>
        <w:t xml:space="preserve">Before approval of the degree lists, Faculties and Schools need to check with Degree Coordinators to ensure that no students with ongoing </w:t>
      </w:r>
      <w:r w:rsidR="00564404">
        <w:t xml:space="preserve">academic integrity departure </w:t>
      </w:r>
      <w:r>
        <w:t xml:space="preserve">cases </w:t>
      </w:r>
      <w:r w:rsidR="00564404">
        <w:t>ha</w:t>
      </w:r>
      <w:r w:rsidR="001B1AB1">
        <w:t>ve</w:t>
      </w:r>
      <w:r w:rsidR="00564404">
        <w:t xml:space="preserve"> applied</w:t>
      </w:r>
      <w:r>
        <w:t xml:space="preserve"> to graduate.</w:t>
      </w:r>
    </w:p>
    <w:p w14:paraId="5F51EC75" w14:textId="05C19B90" w:rsidR="00564404" w:rsidRDefault="008934A3" w:rsidP="00382717">
      <w:pPr>
        <w:pStyle w:val="ListParagraph"/>
        <w:numPr>
          <w:ilvl w:val="0"/>
          <w:numId w:val="8"/>
        </w:numPr>
        <w:jc w:val="both"/>
      </w:pPr>
      <w:r>
        <w:t xml:space="preserve">If a sanction includes </w:t>
      </w:r>
      <w:r w:rsidR="003B119A">
        <w:t xml:space="preserve">the </w:t>
      </w:r>
      <w:r w:rsidR="001949D7">
        <w:t xml:space="preserve">requirement to withdraw, you need to contact the Academic Integrity Subcommittee’s chair to </w:t>
      </w:r>
      <w:r w:rsidR="00C95C8F">
        <w:t xml:space="preserve">seek approval of the sanction. The chair’s office will review the previous cases </w:t>
      </w:r>
      <w:r w:rsidR="006D3738">
        <w:t xml:space="preserve">that included a requirement to withdraw across </w:t>
      </w:r>
      <w:r w:rsidR="003B119A">
        <w:t xml:space="preserve">the </w:t>
      </w:r>
      <w:r w:rsidR="006D3738">
        <w:t>university to ensure consistency and fairness</w:t>
      </w:r>
      <w:r w:rsidR="00333479">
        <w:t xml:space="preserve">. </w:t>
      </w:r>
    </w:p>
    <w:p w14:paraId="0D41E7F6" w14:textId="19B0ED8C" w:rsidR="007C55AB" w:rsidRPr="00D235AA" w:rsidRDefault="006423E4" w:rsidP="00C17362">
      <w:pPr>
        <w:rPr>
          <w:b/>
          <w:bCs/>
        </w:rPr>
      </w:pPr>
      <w:r w:rsidRPr="00D235AA">
        <w:rPr>
          <w:b/>
          <w:bCs/>
        </w:rPr>
        <w:t>Reference</w:t>
      </w:r>
      <w:r w:rsidR="00D42688">
        <w:rPr>
          <w:b/>
          <w:bCs/>
        </w:rPr>
        <w:t>s</w:t>
      </w:r>
    </w:p>
    <w:p w14:paraId="5D384AB0" w14:textId="3395C743" w:rsidR="006423E4" w:rsidRPr="005E2D4A" w:rsidRDefault="00764353" w:rsidP="00382717">
      <w:pPr>
        <w:ind w:left="720" w:hanging="720"/>
        <w:jc w:val="both"/>
      </w:pPr>
      <w:r>
        <w:t xml:space="preserve">Queen’s University. (2021). </w:t>
      </w:r>
      <w:r w:rsidR="006423E4" w:rsidRPr="005E2D4A">
        <w:rPr>
          <w:i/>
          <w:iCs/>
        </w:rPr>
        <w:t>Academic Integrity Procedures – Requirements for Faculties and Schools</w:t>
      </w:r>
      <w:r w:rsidR="005E2D4A">
        <w:t xml:space="preserve">. </w:t>
      </w:r>
      <w:hyperlink r:id="rId18" w:history="1">
        <w:r w:rsidR="005E2D4A" w:rsidRPr="006870D5">
          <w:rPr>
            <w:rStyle w:val="Hyperlink"/>
          </w:rPr>
          <w:t>https://www.queensu.ca/secretariat/policies/senate/academic-integrity-procedures-requirements-faculties-schools</w:t>
        </w:r>
      </w:hyperlink>
      <w:r w:rsidR="005E2D4A">
        <w:t xml:space="preserve"> </w:t>
      </w:r>
    </w:p>
    <w:p w14:paraId="000D887F" w14:textId="4708999B" w:rsidR="009E7327" w:rsidRPr="00EC6379" w:rsidRDefault="00D42688" w:rsidP="00382717">
      <w:pPr>
        <w:ind w:left="720" w:hanging="720"/>
        <w:jc w:val="both"/>
      </w:pPr>
      <w:r>
        <w:lastRenderedPageBreak/>
        <w:t xml:space="preserve">University of </w:t>
      </w:r>
      <w:r w:rsidRPr="00D42688">
        <w:t>Ontario Institute of Technology</w:t>
      </w:r>
      <w:r w:rsidR="00452391">
        <w:t>. (</w:t>
      </w:r>
      <w:r w:rsidR="00452391" w:rsidRPr="002013D0">
        <w:t>n. d.</w:t>
      </w:r>
      <w:r w:rsidR="00452391">
        <w:t>)</w:t>
      </w:r>
      <w:r w:rsidR="00CD585B">
        <w:t xml:space="preserve">. </w:t>
      </w:r>
      <w:r w:rsidRPr="00CD585B">
        <w:rPr>
          <w:i/>
          <w:iCs/>
        </w:rPr>
        <w:t>Why is Academic Integrity and Honesty Important?</w:t>
      </w:r>
      <w:r w:rsidR="00EC6379">
        <w:t xml:space="preserve"> </w:t>
      </w:r>
      <w:hyperlink r:id="rId19" w:history="1">
        <w:r w:rsidR="00EC6379" w:rsidRPr="006870D5">
          <w:rPr>
            <w:rStyle w:val="Hyperlink"/>
          </w:rPr>
          <w:t>https://secure.tlc.ontariotechu.ca/academic_integrity/module1/Module13.html</w:t>
        </w:r>
      </w:hyperlink>
      <w:r w:rsidR="00EC6379">
        <w:t xml:space="preserve"> </w:t>
      </w:r>
    </w:p>
    <w:p w14:paraId="63C3AD68" w14:textId="77777777" w:rsidR="00CB2D01" w:rsidRDefault="00CB2D01"/>
    <w:p w14:paraId="5D9D98AA" w14:textId="77777777" w:rsidR="0020008C" w:rsidRDefault="0020008C"/>
    <w:sectPr w:rsidR="0020008C" w:rsidSect="00E1747C">
      <w:headerReference w:type="even" r:id="rId20"/>
      <w:headerReference w:type="default" r:id="rId21"/>
      <w:footerReference w:type="even" r:id="rId22"/>
      <w:footerReference w:type="default" r:id="rId23"/>
      <w:headerReference w:type="first" r:id="rId24"/>
      <w:footerReference w:type="first" r:id="rId25"/>
      <w:pgSz w:w="12240" w:h="15840"/>
      <w:pgMar w:top="1620" w:right="1350" w:bottom="144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41EF7" w14:textId="77777777" w:rsidR="00E054C9" w:rsidRDefault="00E054C9" w:rsidP="001B3C26">
      <w:pPr>
        <w:spacing w:after="0" w:line="240" w:lineRule="auto"/>
      </w:pPr>
      <w:r>
        <w:separator/>
      </w:r>
    </w:p>
  </w:endnote>
  <w:endnote w:type="continuationSeparator" w:id="0">
    <w:p w14:paraId="7472F683" w14:textId="77777777" w:rsidR="00E054C9" w:rsidRDefault="00E054C9" w:rsidP="001B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86ED" w14:textId="77777777" w:rsidR="00382717" w:rsidRDefault="00382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669636"/>
      <w:docPartObj>
        <w:docPartGallery w:val="Page Numbers (Bottom of Page)"/>
        <w:docPartUnique/>
      </w:docPartObj>
    </w:sdtPr>
    <w:sdtEndPr>
      <w:rPr>
        <w:noProof/>
      </w:rPr>
    </w:sdtEndPr>
    <w:sdtContent>
      <w:p w14:paraId="391E2F0D" w14:textId="553BBCF5" w:rsidR="001B3C26" w:rsidRDefault="001B3C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24478" w14:textId="77777777" w:rsidR="001B3C26" w:rsidRDefault="001B3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CD30" w14:textId="77777777" w:rsidR="00382717" w:rsidRDefault="00382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00DC8" w14:textId="77777777" w:rsidR="00E054C9" w:rsidRDefault="00E054C9" w:rsidP="001B3C26">
      <w:pPr>
        <w:spacing w:after="0" w:line="240" w:lineRule="auto"/>
      </w:pPr>
      <w:r>
        <w:separator/>
      </w:r>
    </w:p>
  </w:footnote>
  <w:footnote w:type="continuationSeparator" w:id="0">
    <w:p w14:paraId="316632BC" w14:textId="77777777" w:rsidR="00E054C9" w:rsidRDefault="00E054C9" w:rsidP="001B3C26">
      <w:pPr>
        <w:spacing w:after="0" w:line="240" w:lineRule="auto"/>
      </w:pPr>
      <w:r>
        <w:continuationSeparator/>
      </w:r>
    </w:p>
  </w:footnote>
  <w:footnote w:id="1">
    <w:p w14:paraId="3ED5C296" w14:textId="3B451EFD" w:rsidR="00A100F2" w:rsidRDefault="00A100F2">
      <w:pPr>
        <w:pStyle w:val="FootnoteText"/>
      </w:pPr>
      <w:r>
        <w:rPr>
          <w:rStyle w:val="FootnoteReference"/>
        </w:rPr>
        <w:footnoteRef/>
      </w:r>
      <w:r>
        <w:t xml:space="preserve"> University of Ontario Institute of Technology has elaborated the impacts of academic integrity departures in </w:t>
      </w:r>
      <w:r w:rsidR="008E4872">
        <w:t>this section “</w:t>
      </w:r>
      <w:bookmarkStart w:id="1" w:name="_Hlk87346615"/>
      <w:r w:rsidR="008934A3">
        <w:fldChar w:fldCharType="begin"/>
      </w:r>
      <w:r w:rsidR="008934A3">
        <w:instrText xml:space="preserve"> HYPERLINK "https://secure.tlc.ontariotechu.ca/academic_integrity/module1/Module13.html" </w:instrText>
      </w:r>
      <w:r w:rsidR="008934A3">
        <w:fldChar w:fldCharType="separate"/>
      </w:r>
      <w:r w:rsidR="008E4872" w:rsidRPr="008934A3">
        <w:rPr>
          <w:rStyle w:val="Hyperlink"/>
        </w:rPr>
        <w:t>Why is Academic Integrity and Honesty Important?</w:t>
      </w:r>
      <w:r w:rsidR="008934A3">
        <w:fldChar w:fldCharType="end"/>
      </w:r>
      <w:bookmarkEnd w:id="1"/>
      <w:r w:rsidR="008E4872">
        <w:t>”</w:t>
      </w:r>
    </w:p>
  </w:footnote>
  <w:footnote w:id="2">
    <w:p w14:paraId="06A833B7" w14:textId="2E104D7F" w:rsidR="006D12E7" w:rsidRDefault="006D12E7">
      <w:pPr>
        <w:pStyle w:val="FootnoteText"/>
      </w:pPr>
      <w:r>
        <w:rPr>
          <w:rStyle w:val="FootnoteReference"/>
        </w:rPr>
        <w:footnoteRef/>
      </w:r>
      <w:r>
        <w:t xml:space="preserve"> The majority of the ideas in this section come from Claire O’Brien</w:t>
      </w:r>
      <w:r w:rsidR="00464617">
        <w:t>’s presentation at the Academic Integrity Roundtable on November 8, 2</w:t>
      </w:r>
      <w:r w:rsidR="005C4D87">
        <w:t>021,</w:t>
      </w:r>
      <w:r w:rsidR="004A7F6E">
        <w:t xml:space="preserve"> </w:t>
      </w:r>
      <w:r w:rsidR="004A7F6E" w:rsidRPr="005C4D87">
        <w:rPr>
          <w:i/>
          <w:iCs/>
        </w:rPr>
        <w:t>Changes to academic integrity procedures</w:t>
      </w:r>
      <w:r w:rsidR="004A7F6E">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809C" w14:textId="77777777" w:rsidR="00382717" w:rsidRDefault="00382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E24C" w14:textId="490A0846" w:rsidR="00F417CD" w:rsidRDefault="00F41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39E4" w14:textId="750DB625" w:rsidR="00382717" w:rsidRDefault="00C77C60">
    <w:pPr>
      <w:pStyle w:val="Header"/>
    </w:pPr>
    <w:r w:rsidRPr="00C77C60">
      <w:rPr>
        <w:rFonts w:eastAsia="Calibri" w:cs="Times New Roman"/>
        <w:noProof/>
      </w:rPr>
      <w:drawing>
        <wp:anchor distT="0" distB="0" distL="114300" distR="114300" simplePos="0" relativeHeight="251660288" behindDoc="1" locked="0" layoutInCell="1" allowOverlap="1" wp14:anchorId="2A119D0F" wp14:editId="70F57F30">
          <wp:simplePos x="0" y="0"/>
          <wp:positionH relativeFrom="page">
            <wp:posOffset>5442</wp:posOffset>
          </wp:positionH>
          <wp:positionV relativeFrom="page">
            <wp:posOffset>0</wp:posOffset>
          </wp:positionV>
          <wp:extent cx="7772400" cy="1828800"/>
          <wp:effectExtent l="0" t="0" r="0" b="0"/>
          <wp:wrapNone/>
          <wp:docPr id="8" name="Picture 8"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F6E"/>
    <w:multiLevelType w:val="hybridMultilevel"/>
    <w:tmpl w:val="F8F0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220FB"/>
    <w:multiLevelType w:val="hybridMultilevel"/>
    <w:tmpl w:val="7BC83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997"/>
    <w:multiLevelType w:val="hybridMultilevel"/>
    <w:tmpl w:val="89FAAF18"/>
    <w:lvl w:ilvl="0" w:tplc="35CE6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F316F"/>
    <w:multiLevelType w:val="hybridMultilevel"/>
    <w:tmpl w:val="5C62854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80C6076"/>
    <w:multiLevelType w:val="hybridMultilevel"/>
    <w:tmpl w:val="767E3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F0651"/>
    <w:multiLevelType w:val="hybridMultilevel"/>
    <w:tmpl w:val="D4542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5153F"/>
    <w:multiLevelType w:val="multilevel"/>
    <w:tmpl w:val="9B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68497C"/>
    <w:multiLevelType w:val="multilevel"/>
    <w:tmpl w:val="76CA8F9A"/>
    <w:lvl w:ilvl="0">
      <w:start w:val="5"/>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EE16ED2"/>
    <w:multiLevelType w:val="hybridMultilevel"/>
    <w:tmpl w:val="82AED4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D904211"/>
    <w:multiLevelType w:val="hybridMultilevel"/>
    <w:tmpl w:val="AC129F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2"/>
  </w:num>
  <w:num w:numId="5">
    <w:abstractNumId w:val="8"/>
  </w:num>
  <w:num w:numId="6">
    <w:abstractNumId w:val="3"/>
  </w:num>
  <w:num w:numId="7">
    <w:abstractNumId w:val="6"/>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yMTUzMDE0MDAytTBV0lEKTi0uzszPAykwNKoFAMCNSM4tAAAA"/>
  </w:docVars>
  <w:rsids>
    <w:rsidRoot w:val="34D0DB8F"/>
    <w:rsid w:val="00000CCE"/>
    <w:rsid w:val="00024382"/>
    <w:rsid w:val="00032C7E"/>
    <w:rsid w:val="0004026B"/>
    <w:rsid w:val="0004291E"/>
    <w:rsid w:val="00052EF8"/>
    <w:rsid w:val="00057AED"/>
    <w:rsid w:val="000614B6"/>
    <w:rsid w:val="000679E0"/>
    <w:rsid w:val="000750CA"/>
    <w:rsid w:val="000914A3"/>
    <w:rsid w:val="00093148"/>
    <w:rsid w:val="00096AE6"/>
    <w:rsid w:val="000B3A6C"/>
    <w:rsid w:val="000B706C"/>
    <w:rsid w:val="000D3779"/>
    <w:rsid w:val="000D58E3"/>
    <w:rsid w:val="000E3BF3"/>
    <w:rsid w:val="00101E04"/>
    <w:rsid w:val="0010569F"/>
    <w:rsid w:val="00106726"/>
    <w:rsid w:val="001275E0"/>
    <w:rsid w:val="00127640"/>
    <w:rsid w:val="00131B01"/>
    <w:rsid w:val="0014625F"/>
    <w:rsid w:val="001505CA"/>
    <w:rsid w:val="001621BB"/>
    <w:rsid w:val="00164AF4"/>
    <w:rsid w:val="00166C76"/>
    <w:rsid w:val="001837F8"/>
    <w:rsid w:val="001949D7"/>
    <w:rsid w:val="001954E8"/>
    <w:rsid w:val="00197CE7"/>
    <w:rsid w:val="001A795D"/>
    <w:rsid w:val="001A7E04"/>
    <w:rsid w:val="001B1AB1"/>
    <w:rsid w:val="001B1D7B"/>
    <w:rsid w:val="001B3C26"/>
    <w:rsid w:val="001B5B9F"/>
    <w:rsid w:val="001C2C24"/>
    <w:rsid w:val="001C7362"/>
    <w:rsid w:val="001E5961"/>
    <w:rsid w:val="001F6A1D"/>
    <w:rsid w:val="001F7D0A"/>
    <w:rsid w:val="0020008C"/>
    <w:rsid w:val="002013D0"/>
    <w:rsid w:val="00216EBC"/>
    <w:rsid w:val="00244A52"/>
    <w:rsid w:val="00271014"/>
    <w:rsid w:val="00271806"/>
    <w:rsid w:val="00274316"/>
    <w:rsid w:val="002755D5"/>
    <w:rsid w:val="00285189"/>
    <w:rsid w:val="002A6E77"/>
    <w:rsid w:val="002D50DF"/>
    <w:rsid w:val="002E24D2"/>
    <w:rsid w:val="002F7EB7"/>
    <w:rsid w:val="00316440"/>
    <w:rsid w:val="00333479"/>
    <w:rsid w:val="003355E9"/>
    <w:rsid w:val="00342D92"/>
    <w:rsid w:val="0034364A"/>
    <w:rsid w:val="00350D54"/>
    <w:rsid w:val="00372398"/>
    <w:rsid w:val="0038163C"/>
    <w:rsid w:val="00382717"/>
    <w:rsid w:val="00396F07"/>
    <w:rsid w:val="003972B8"/>
    <w:rsid w:val="003A0D7D"/>
    <w:rsid w:val="003A4000"/>
    <w:rsid w:val="003A58CF"/>
    <w:rsid w:val="003B119A"/>
    <w:rsid w:val="003E7F65"/>
    <w:rsid w:val="003F0E28"/>
    <w:rsid w:val="00401F46"/>
    <w:rsid w:val="00404DA8"/>
    <w:rsid w:val="0042396C"/>
    <w:rsid w:val="00425F22"/>
    <w:rsid w:val="0043167D"/>
    <w:rsid w:val="004344FB"/>
    <w:rsid w:val="00452391"/>
    <w:rsid w:val="0046177E"/>
    <w:rsid w:val="00464617"/>
    <w:rsid w:val="00466218"/>
    <w:rsid w:val="0047692B"/>
    <w:rsid w:val="00492851"/>
    <w:rsid w:val="004A61AD"/>
    <w:rsid w:val="004A7F6E"/>
    <w:rsid w:val="004D25AB"/>
    <w:rsid w:val="004D26D5"/>
    <w:rsid w:val="004E1C65"/>
    <w:rsid w:val="004F2472"/>
    <w:rsid w:val="0050208E"/>
    <w:rsid w:val="00504F88"/>
    <w:rsid w:val="00507C21"/>
    <w:rsid w:val="005325C7"/>
    <w:rsid w:val="0054306E"/>
    <w:rsid w:val="00544616"/>
    <w:rsid w:val="00551DE2"/>
    <w:rsid w:val="005630DC"/>
    <w:rsid w:val="00564404"/>
    <w:rsid w:val="0056455E"/>
    <w:rsid w:val="00564BFF"/>
    <w:rsid w:val="005705DD"/>
    <w:rsid w:val="00571B88"/>
    <w:rsid w:val="00580D82"/>
    <w:rsid w:val="0058624A"/>
    <w:rsid w:val="005A1DFD"/>
    <w:rsid w:val="005A49DC"/>
    <w:rsid w:val="005B44A1"/>
    <w:rsid w:val="005B69D1"/>
    <w:rsid w:val="005C4D87"/>
    <w:rsid w:val="005D2629"/>
    <w:rsid w:val="005D5FF3"/>
    <w:rsid w:val="005D7EFB"/>
    <w:rsid w:val="005E2D4A"/>
    <w:rsid w:val="005F31AD"/>
    <w:rsid w:val="00601A08"/>
    <w:rsid w:val="0061093E"/>
    <w:rsid w:val="006211A3"/>
    <w:rsid w:val="00625211"/>
    <w:rsid w:val="00634CA2"/>
    <w:rsid w:val="0063681C"/>
    <w:rsid w:val="006423E4"/>
    <w:rsid w:val="00642BD5"/>
    <w:rsid w:val="006B4973"/>
    <w:rsid w:val="006C147E"/>
    <w:rsid w:val="006D12E7"/>
    <w:rsid w:val="006D3738"/>
    <w:rsid w:val="007107CD"/>
    <w:rsid w:val="00736021"/>
    <w:rsid w:val="00742E86"/>
    <w:rsid w:val="00745B7C"/>
    <w:rsid w:val="00750386"/>
    <w:rsid w:val="0076014A"/>
    <w:rsid w:val="00764353"/>
    <w:rsid w:val="007818B0"/>
    <w:rsid w:val="007832E7"/>
    <w:rsid w:val="007900BB"/>
    <w:rsid w:val="00790BB9"/>
    <w:rsid w:val="00792A84"/>
    <w:rsid w:val="007A6160"/>
    <w:rsid w:val="007C17C2"/>
    <w:rsid w:val="007C55AB"/>
    <w:rsid w:val="007D5956"/>
    <w:rsid w:val="007F07EC"/>
    <w:rsid w:val="008003D0"/>
    <w:rsid w:val="00811EE6"/>
    <w:rsid w:val="008304A9"/>
    <w:rsid w:val="00831707"/>
    <w:rsid w:val="008333F9"/>
    <w:rsid w:val="00843C5C"/>
    <w:rsid w:val="008512C6"/>
    <w:rsid w:val="00854B8B"/>
    <w:rsid w:val="00861D8C"/>
    <w:rsid w:val="00866528"/>
    <w:rsid w:val="008872A3"/>
    <w:rsid w:val="00891827"/>
    <w:rsid w:val="008934A3"/>
    <w:rsid w:val="008A72DD"/>
    <w:rsid w:val="008B19AC"/>
    <w:rsid w:val="008B4249"/>
    <w:rsid w:val="008C0EE4"/>
    <w:rsid w:val="008D3112"/>
    <w:rsid w:val="008D537E"/>
    <w:rsid w:val="008E0909"/>
    <w:rsid w:val="008E4872"/>
    <w:rsid w:val="00903894"/>
    <w:rsid w:val="00904F20"/>
    <w:rsid w:val="00915C53"/>
    <w:rsid w:val="009163BC"/>
    <w:rsid w:val="00935D8A"/>
    <w:rsid w:val="00937FEF"/>
    <w:rsid w:val="00946F9D"/>
    <w:rsid w:val="00954E70"/>
    <w:rsid w:val="009808A9"/>
    <w:rsid w:val="00985CA1"/>
    <w:rsid w:val="009A63C4"/>
    <w:rsid w:val="009B5433"/>
    <w:rsid w:val="009C71BC"/>
    <w:rsid w:val="009C7E13"/>
    <w:rsid w:val="009D4576"/>
    <w:rsid w:val="009D475E"/>
    <w:rsid w:val="009E3241"/>
    <w:rsid w:val="009E7327"/>
    <w:rsid w:val="00A009E4"/>
    <w:rsid w:val="00A017EA"/>
    <w:rsid w:val="00A100F2"/>
    <w:rsid w:val="00A17B9A"/>
    <w:rsid w:val="00A255CC"/>
    <w:rsid w:val="00A3575B"/>
    <w:rsid w:val="00A364F0"/>
    <w:rsid w:val="00A45672"/>
    <w:rsid w:val="00A5529E"/>
    <w:rsid w:val="00A70E7A"/>
    <w:rsid w:val="00A727DC"/>
    <w:rsid w:val="00A80F58"/>
    <w:rsid w:val="00A858E1"/>
    <w:rsid w:val="00A944FD"/>
    <w:rsid w:val="00AA1E3A"/>
    <w:rsid w:val="00AA4C69"/>
    <w:rsid w:val="00AB5CB5"/>
    <w:rsid w:val="00AE6D54"/>
    <w:rsid w:val="00B01823"/>
    <w:rsid w:val="00B0408C"/>
    <w:rsid w:val="00B07A3C"/>
    <w:rsid w:val="00B23189"/>
    <w:rsid w:val="00B235CE"/>
    <w:rsid w:val="00B47B66"/>
    <w:rsid w:val="00B514CC"/>
    <w:rsid w:val="00B60BAE"/>
    <w:rsid w:val="00B7230D"/>
    <w:rsid w:val="00B83ED8"/>
    <w:rsid w:val="00B85B8F"/>
    <w:rsid w:val="00B87161"/>
    <w:rsid w:val="00B91FB3"/>
    <w:rsid w:val="00B92913"/>
    <w:rsid w:val="00B95884"/>
    <w:rsid w:val="00BA2106"/>
    <w:rsid w:val="00BA4E2D"/>
    <w:rsid w:val="00BB7768"/>
    <w:rsid w:val="00BD105E"/>
    <w:rsid w:val="00BD1627"/>
    <w:rsid w:val="00BD32A5"/>
    <w:rsid w:val="00BE2D82"/>
    <w:rsid w:val="00BF0FCE"/>
    <w:rsid w:val="00BF33D0"/>
    <w:rsid w:val="00C004D2"/>
    <w:rsid w:val="00C011C5"/>
    <w:rsid w:val="00C11230"/>
    <w:rsid w:val="00C17362"/>
    <w:rsid w:val="00C20822"/>
    <w:rsid w:val="00C23AC7"/>
    <w:rsid w:val="00C33F8A"/>
    <w:rsid w:val="00C3494F"/>
    <w:rsid w:val="00C41545"/>
    <w:rsid w:val="00C422B3"/>
    <w:rsid w:val="00C51056"/>
    <w:rsid w:val="00C6391E"/>
    <w:rsid w:val="00C77C60"/>
    <w:rsid w:val="00C95C8F"/>
    <w:rsid w:val="00C960DD"/>
    <w:rsid w:val="00CB2D01"/>
    <w:rsid w:val="00CB4EEF"/>
    <w:rsid w:val="00CC6671"/>
    <w:rsid w:val="00CD585B"/>
    <w:rsid w:val="00CF3519"/>
    <w:rsid w:val="00D003D5"/>
    <w:rsid w:val="00D019AC"/>
    <w:rsid w:val="00D235AA"/>
    <w:rsid w:val="00D30C57"/>
    <w:rsid w:val="00D31DFD"/>
    <w:rsid w:val="00D40C6A"/>
    <w:rsid w:val="00D42688"/>
    <w:rsid w:val="00D43354"/>
    <w:rsid w:val="00D45105"/>
    <w:rsid w:val="00D55E6A"/>
    <w:rsid w:val="00D630C4"/>
    <w:rsid w:val="00D6458A"/>
    <w:rsid w:val="00D7219D"/>
    <w:rsid w:val="00D8560F"/>
    <w:rsid w:val="00D95284"/>
    <w:rsid w:val="00D95838"/>
    <w:rsid w:val="00DA47F3"/>
    <w:rsid w:val="00DC2BAD"/>
    <w:rsid w:val="00DF06F7"/>
    <w:rsid w:val="00E005AE"/>
    <w:rsid w:val="00E054C9"/>
    <w:rsid w:val="00E05BA1"/>
    <w:rsid w:val="00E1499F"/>
    <w:rsid w:val="00E1747C"/>
    <w:rsid w:val="00E237A2"/>
    <w:rsid w:val="00E2622D"/>
    <w:rsid w:val="00E322A8"/>
    <w:rsid w:val="00E33A3D"/>
    <w:rsid w:val="00E428F2"/>
    <w:rsid w:val="00E53736"/>
    <w:rsid w:val="00E57D53"/>
    <w:rsid w:val="00E766D9"/>
    <w:rsid w:val="00E878FB"/>
    <w:rsid w:val="00E95499"/>
    <w:rsid w:val="00EA42C2"/>
    <w:rsid w:val="00EB45D3"/>
    <w:rsid w:val="00EC6379"/>
    <w:rsid w:val="00EC74B4"/>
    <w:rsid w:val="00ED29DD"/>
    <w:rsid w:val="00ED3920"/>
    <w:rsid w:val="00ED4630"/>
    <w:rsid w:val="00F045FF"/>
    <w:rsid w:val="00F16496"/>
    <w:rsid w:val="00F20900"/>
    <w:rsid w:val="00F24001"/>
    <w:rsid w:val="00F24A4C"/>
    <w:rsid w:val="00F33CED"/>
    <w:rsid w:val="00F417CD"/>
    <w:rsid w:val="00F42B70"/>
    <w:rsid w:val="00F44F92"/>
    <w:rsid w:val="00F74D64"/>
    <w:rsid w:val="00FB04F8"/>
    <w:rsid w:val="00FB71F8"/>
    <w:rsid w:val="00FE6FA4"/>
    <w:rsid w:val="07A58223"/>
    <w:rsid w:val="34D0DB8F"/>
    <w:rsid w:val="3D6949E7"/>
    <w:rsid w:val="404B693C"/>
    <w:rsid w:val="531E36D1"/>
    <w:rsid w:val="7393A3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0DB8F"/>
  <w15:chartTrackingRefBased/>
  <w15:docId w15:val="{7DCDC7DA-8315-4DCF-BD48-AF338547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6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C76"/>
    <w:rPr>
      <w:rFonts w:ascii="Segoe UI" w:hAnsi="Segoe UI" w:cs="Segoe UI"/>
      <w:sz w:val="18"/>
      <w:szCs w:val="18"/>
    </w:rPr>
  </w:style>
  <w:style w:type="paragraph" w:styleId="ListParagraph">
    <w:name w:val="List Paragraph"/>
    <w:basedOn w:val="Normal"/>
    <w:uiPriority w:val="34"/>
    <w:qFormat/>
    <w:rsid w:val="00FB04F8"/>
    <w:pPr>
      <w:ind w:left="720"/>
      <w:contextualSpacing/>
    </w:pPr>
  </w:style>
  <w:style w:type="paragraph" w:styleId="Header">
    <w:name w:val="header"/>
    <w:basedOn w:val="Normal"/>
    <w:link w:val="HeaderChar"/>
    <w:uiPriority w:val="99"/>
    <w:unhideWhenUsed/>
    <w:rsid w:val="001B3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C26"/>
  </w:style>
  <w:style w:type="paragraph" w:styleId="Footer">
    <w:name w:val="footer"/>
    <w:basedOn w:val="Normal"/>
    <w:link w:val="FooterChar"/>
    <w:uiPriority w:val="99"/>
    <w:unhideWhenUsed/>
    <w:rsid w:val="001B3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C26"/>
  </w:style>
  <w:style w:type="paragraph" w:styleId="FootnoteText">
    <w:name w:val="footnote text"/>
    <w:basedOn w:val="Normal"/>
    <w:link w:val="FootnoteTextChar"/>
    <w:uiPriority w:val="99"/>
    <w:semiHidden/>
    <w:unhideWhenUsed/>
    <w:rsid w:val="00A100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0F2"/>
    <w:rPr>
      <w:sz w:val="20"/>
      <w:szCs w:val="20"/>
    </w:rPr>
  </w:style>
  <w:style w:type="character" w:styleId="FootnoteReference">
    <w:name w:val="footnote reference"/>
    <w:basedOn w:val="DefaultParagraphFont"/>
    <w:uiPriority w:val="99"/>
    <w:semiHidden/>
    <w:unhideWhenUsed/>
    <w:rsid w:val="00A100F2"/>
    <w:rPr>
      <w:vertAlign w:val="superscript"/>
    </w:rPr>
  </w:style>
  <w:style w:type="character" w:styleId="Hyperlink">
    <w:name w:val="Hyperlink"/>
    <w:basedOn w:val="DefaultParagraphFont"/>
    <w:uiPriority w:val="99"/>
    <w:unhideWhenUsed/>
    <w:rsid w:val="008934A3"/>
    <w:rPr>
      <w:color w:val="0563C1" w:themeColor="hyperlink"/>
      <w:u w:val="single"/>
    </w:rPr>
  </w:style>
  <w:style w:type="character" w:styleId="UnresolvedMention">
    <w:name w:val="Unresolved Mention"/>
    <w:basedOn w:val="DefaultParagraphFont"/>
    <w:uiPriority w:val="99"/>
    <w:semiHidden/>
    <w:unhideWhenUsed/>
    <w:rsid w:val="008934A3"/>
    <w:rPr>
      <w:color w:val="605E5C"/>
      <w:shd w:val="clear" w:color="auto" w:fill="E1DFDD"/>
    </w:rPr>
  </w:style>
  <w:style w:type="character" w:styleId="FollowedHyperlink">
    <w:name w:val="FollowedHyperlink"/>
    <w:basedOn w:val="DefaultParagraphFont"/>
    <w:uiPriority w:val="99"/>
    <w:semiHidden/>
    <w:unhideWhenUsed/>
    <w:rsid w:val="00CD585B"/>
    <w:rPr>
      <w:color w:val="954F72" w:themeColor="followedHyperlink"/>
      <w:u w:val="single"/>
    </w:rPr>
  </w:style>
  <w:style w:type="character" w:styleId="PlaceholderText">
    <w:name w:val="Placeholder Text"/>
    <w:basedOn w:val="DefaultParagraphFont"/>
    <w:uiPriority w:val="99"/>
    <w:semiHidden/>
    <w:rsid w:val="00CC66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0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ensu.ca/secretariat/policies/senate/academic-integrity-procedures-requirements-faculties-schools" TargetMode="External"/><Relationship Id="rId18" Type="http://schemas.openxmlformats.org/officeDocument/2006/relationships/hyperlink" Target="https://www.queensu.ca/secretariat/policies/senate/academic-integrity-procedures-requirements-faculties-school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queensu.ca/secretariat/policies/senate/academic-integrity-procedures-requirements-faculties-schools" TargetMode="External"/><Relationship Id="rId17" Type="http://schemas.openxmlformats.org/officeDocument/2006/relationships/hyperlink" Target="https://www.queensu.ca/secretariat/policies/senate/academic-integrity-procedures-requirements-faculties-school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queensu.ca/secretariat/policies/senate/academic-integrity-procedures-requirements-faculties-schoo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eensu.ca/secretariat/policies/senate/academic-integrity-procedures-requirements-faculties-school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queensu.ca/secretariat/policies/senate/academic-integrity-procedures-requirements-faculties-school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ecure.tlc.ontariotechu.ca/academic_integrity/module1/Module1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ensu.ca/secretariat/policies/senate/academic-integrity-procedures-requirements-faculties-school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50404FF720084C9C845519105EB60A" ma:contentTypeVersion="12" ma:contentTypeDescription="Create a new document." ma:contentTypeScope="" ma:versionID="3bed3f49b7706802389043232afd7729">
  <xsd:schema xmlns:xsd="http://www.w3.org/2001/XMLSchema" xmlns:xs="http://www.w3.org/2001/XMLSchema" xmlns:p="http://schemas.microsoft.com/office/2006/metadata/properties" xmlns:ns2="963b8815-1d01-4b82-8679-3162eac29eeb" xmlns:ns3="96b31449-b2ca-4f66-8f3e-4ac0c1f63ce4" targetNamespace="http://schemas.microsoft.com/office/2006/metadata/properties" ma:root="true" ma:fieldsID="692ca64d6253a945f8bc5067ba9292e3" ns2:_="" ns3:_="">
    <xsd:import namespace="963b8815-1d01-4b82-8679-3162eac29eeb"/>
    <xsd:import namespace="96b31449-b2ca-4f66-8f3e-4ac0c1f63c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b8815-1d01-4b82-8679-3162eac29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31449-b2ca-4f66-8f3e-4ac0c1f63c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B977E-251F-4A67-A937-BBEA6BF66502}">
  <ds:schemaRefs>
    <ds:schemaRef ds:uri="http://schemas.openxmlformats.org/officeDocument/2006/bibliography"/>
  </ds:schemaRefs>
</ds:datastoreItem>
</file>

<file path=customXml/itemProps2.xml><?xml version="1.0" encoding="utf-8"?>
<ds:datastoreItem xmlns:ds="http://schemas.openxmlformats.org/officeDocument/2006/customXml" ds:itemID="{BF242D17-ED09-4532-9F7A-010A4E049A04}">
  <ds:schemaRefs>
    <ds:schemaRef ds:uri="http://schemas.microsoft.com/sharepoint/v3/contenttype/forms"/>
  </ds:schemaRefs>
</ds:datastoreItem>
</file>

<file path=customXml/itemProps3.xml><?xml version="1.0" encoding="utf-8"?>
<ds:datastoreItem xmlns:ds="http://schemas.openxmlformats.org/officeDocument/2006/customXml" ds:itemID="{76AA358A-D047-439B-BEC3-BDE04F479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b8815-1d01-4b82-8679-3162eac29eeb"/>
    <ds:schemaRef ds:uri="96b31449-b2ca-4f66-8f3e-4ac0c1f63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946EC7-04E3-4E32-8F94-5FCFEB4EC6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5</Pages>
  <Words>1670</Words>
  <Characters>9523</Characters>
  <Application>Microsoft Office Word</Application>
  <DocSecurity>0</DocSecurity>
  <Lines>79</Lines>
  <Paragraphs>22</Paragraphs>
  <ScaleCrop>false</ScaleCrop>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Rahimian</dc:creator>
  <cp:keywords/>
  <dc:description/>
  <cp:lastModifiedBy>Matt Rahimian</cp:lastModifiedBy>
  <cp:revision>307</cp:revision>
  <dcterms:created xsi:type="dcterms:W3CDTF">2021-06-08T09:36:00Z</dcterms:created>
  <dcterms:modified xsi:type="dcterms:W3CDTF">2021-11-25T19:07:00Z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0x0101000F50404FF720084C9C845519105EB60A</vt:lpwstr>
  </property>
</Properties>
</file>