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99" w:rsidRPr="00DC317C" w:rsidRDefault="001A3B99">
      <w:pPr>
        <w:tabs>
          <w:tab w:val="clear" w:pos="1440"/>
          <w:tab w:val="left" w:pos="1620"/>
        </w:tabs>
        <w:spacing w:line="280" w:lineRule="atLeast"/>
        <w:rPr>
          <w:rFonts w:ascii="Palatino Linotype" w:hAnsi="Palatino Linotype" w:cs="Arial"/>
          <w:sz w:val="22"/>
          <w:szCs w:val="22"/>
        </w:rPr>
      </w:pPr>
      <w:r w:rsidRPr="00DC317C">
        <w:rPr>
          <w:rFonts w:ascii="Palatino Linotype" w:hAnsi="Palatino Linotype" w:cs="Arial"/>
          <w:sz w:val="22"/>
          <w:szCs w:val="22"/>
        </w:rPr>
        <w:tab/>
      </w:r>
      <w:r w:rsidR="004E47D9" w:rsidRPr="00DC317C">
        <w:rPr>
          <w:rFonts w:ascii="Palatino Linotype" w:hAnsi="Palatino Linotype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9B2377" wp14:editId="07AC469A">
                <wp:simplePos x="0" y="0"/>
                <wp:positionH relativeFrom="column">
                  <wp:posOffset>4152900</wp:posOffset>
                </wp:positionH>
                <wp:positionV relativeFrom="paragraph">
                  <wp:posOffset>128905</wp:posOffset>
                </wp:positionV>
                <wp:extent cx="1342390" cy="892175"/>
                <wp:effectExtent l="9525" t="8255" r="1016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472" w:rsidRDefault="00F33472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67D712CB" wp14:editId="40F8F1FA">
                                  <wp:extent cx="1152525" cy="790575"/>
                                  <wp:effectExtent l="0" t="0" r="9525" b="9525"/>
                                  <wp:docPr id="3" name="Picture 3" descr="QL-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QL-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B2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10.15pt;width:105.7pt;height:7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" strokecolor="white">
                <v:textbox>
                  <w:txbxContent>
                    <w:p w:rsidR="00F33472" w:rsidRDefault="00F33472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67D712CB" wp14:editId="40F8F1FA">
                            <wp:extent cx="1152525" cy="790575"/>
                            <wp:effectExtent l="0" t="0" r="9525" b="9525"/>
                            <wp:docPr id="3" name="Picture 3" descr="QL-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QL-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A3B99" w:rsidRPr="00DC317C" w:rsidRDefault="001A3B99">
      <w:pPr>
        <w:tabs>
          <w:tab w:val="clear" w:pos="1440"/>
          <w:tab w:val="left" w:pos="1620"/>
        </w:tabs>
        <w:spacing w:line="280" w:lineRule="atLeast"/>
        <w:rPr>
          <w:rFonts w:ascii="Palatino Linotype" w:hAnsi="Palatino Linotype" w:cs="Arial"/>
          <w:sz w:val="22"/>
          <w:szCs w:val="22"/>
        </w:rPr>
      </w:pPr>
    </w:p>
    <w:p w:rsidR="001A3B99" w:rsidRPr="00543873" w:rsidRDefault="001A3B99" w:rsidP="00917079">
      <w:pPr>
        <w:tabs>
          <w:tab w:val="clear" w:pos="720"/>
          <w:tab w:val="clear" w:pos="1440"/>
          <w:tab w:val="clear" w:pos="7200"/>
        </w:tabs>
        <w:spacing w:line="280" w:lineRule="atLeast"/>
        <w:rPr>
          <w:rFonts w:ascii="Palatino Linotype" w:hAnsi="Palatino Linotype"/>
          <w:b/>
          <w:sz w:val="28"/>
          <w:szCs w:val="28"/>
        </w:rPr>
      </w:pPr>
      <w:r w:rsidRPr="00543873">
        <w:rPr>
          <w:rFonts w:ascii="Palatino Linotype" w:hAnsi="Palatino Linotype" w:cs="Arial"/>
          <w:sz w:val="28"/>
          <w:szCs w:val="28"/>
        </w:rPr>
        <w:tab/>
      </w:r>
      <w:r w:rsidR="0039131D" w:rsidRPr="00543873">
        <w:rPr>
          <w:rFonts w:ascii="Palatino Linotype" w:hAnsi="Palatino Linotype"/>
          <w:b/>
          <w:sz w:val="28"/>
          <w:szCs w:val="28"/>
        </w:rPr>
        <w:t xml:space="preserve">MINUTES </w:t>
      </w:r>
    </w:p>
    <w:p w:rsidR="00C66139" w:rsidRPr="00DC317C" w:rsidRDefault="00C66139" w:rsidP="00F06880">
      <w:pPr>
        <w:tabs>
          <w:tab w:val="clear" w:pos="720"/>
          <w:tab w:val="clear" w:pos="1440"/>
          <w:tab w:val="clear" w:pos="7200"/>
        </w:tabs>
        <w:ind w:right="180"/>
        <w:jc w:val="right"/>
        <w:rPr>
          <w:rFonts w:ascii="Palatino Linotype" w:hAnsi="Palatino Linotype"/>
          <w:b/>
          <w:sz w:val="22"/>
          <w:szCs w:val="22"/>
        </w:rPr>
      </w:pPr>
    </w:p>
    <w:p w:rsidR="00855616" w:rsidRPr="00DC317C" w:rsidRDefault="00994C77" w:rsidP="00F06880">
      <w:pPr>
        <w:tabs>
          <w:tab w:val="clear" w:pos="720"/>
          <w:tab w:val="clear" w:pos="1440"/>
          <w:tab w:val="clear" w:pos="7200"/>
        </w:tabs>
        <w:ind w:right="180"/>
        <w:jc w:val="right"/>
        <w:rPr>
          <w:rFonts w:ascii="Palatino Linotype" w:hAnsi="Palatino Linotype"/>
          <w:b/>
          <w:bCs/>
          <w:iCs/>
          <w:sz w:val="22"/>
          <w:szCs w:val="22"/>
        </w:rPr>
      </w:pPr>
      <w:r w:rsidRPr="00DC317C">
        <w:rPr>
          <w:rFonts w:ascii="Palatino Linotype" w:hAnsi="Palatino Linotype"/>
          <w:b/>
          <w:sz w:val="22"/>
          <w:szCs w:val="22"/>
        </w:rPr>
        <w:t>Vice-</w:t>
      </w:r>
      <w:r w:rsidR="002B54D5" w:rsidRPr="00DC317C">
        <w:rPr>
          <w:rFonts w:ascii="Palatino Linotype" w:hAnsi="Palatino Linotype"/>
          <w:b/>
          <w:sz w:val="22"/>
          <w:szCs w:val="22"/>
        </w:rPr>
        <w:t>Provost</w:t>
      </w:r>
      <w:r w:rsidR="00815F1A" w:rsidRPr="00DC317C">
        <w:rPr>
          <w:rFonts w:ascii="Palatino Linotype" w:hAnsi="Palatino Linotype"/>
          <w:b/>
          <w:sz w:val="22"/>
          <w:szCs w:val="22"/>
        </w:rPr>
        <w:t xml:space="preserve"> </w:t>
      </w:r>
      <w:r w:rsidRPr="00DC317C">
        <w:rPr>
          <w:rFonts w:ascii="Palatino Linotype" w:hAnsi="Palatino Linotype"/>
          <w:b/>
          <w:sz w:val="22"/>
          <w:szCs w:val="22"/>
        </w:rPr>
        <w:t>(Teaching and Learning)</w:t>
      </w:r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4545"/>
        <w:gridCol w:w="1732"/>
        <w:gridCol w:w="3107"/>
      </w:tblGrid>
      <w:tr w:rsidR="00855616" w:rsidRPr="00DC317C" w:rsidTr="0039131D">
        <w:trPr>
          <w:trHeight w:val="288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1939"/>
            <w:vAlign w:val="center"/>
            <w:hideMark/>
          </w:tcPr>
          <w:p w:rsidR="00855616" w:rsidRPr="00DC317C" w:rsidRDefault="00855616" w:rsidP="00807201">
            <w:pPr>
              <w:spacing w:line="240" w:lineRule="auto"/>
              <w:outlineLvl w:val="0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  <w:t>Meeting: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16" w:rsidRPr="00DC317C" w:rsidRDefault="00E55B44" w:rsidP="00994C77">
            <w:pPr>
              <w:outlineLvl w:val="0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sz w:val="22"/>
                <w:szCs w:val="22"/>
              </w:rPr>
              <w:t>Academic Integrity Subcommittee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1939"/>
            <w:vAlign w:val="center"/>
            <w:hideMark/>
          </w:tcPr>
          <w:p w:rsidR="00855616" w:rsidRPr="00DC317C" w:rsidRDefault="00855616" w:rsidP="00807201">
            <w:pPr>
              <w:spacing w:line="240" w:lineRule="auto"/>
              <w:outlineLvl w:val="0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:shd w:val="clear" w:color="auto" w:fill="9D1939"/>
              </w:rPr>
              <w:t>Date &amp; Time</w:t>
            </w:r>
            <w:r w:rsidRPr="00DC317C"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464" w:rsidRPr="00DC317C" w:rsidRDefault="009D1C4B" w:rsidP="008E5E8C">
            <w:pPr>
              <w:outlineLvl w:val="0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Thursday, </w:t>
            </w:r>
            <w:r w:rsidR="008E5E8C">
              <w:rPr>
                <w:rFonts w:ascii="Palatino Linotype" w:hAnsi="Palatino Linotype" w:cs="Arial"/>
                <w:b/>
                <w:sz w:val="22"/>
                <w:szCs w:val="22"/>
              </w:rPr>
              <w:t>February 15, 2018, 3:00 – 4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>:30 p</w:t>
            </w:r>
            <w:r w:rsidR="00422C78" w:rsidRPr="00DC317C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.m. </w:t>
            </w:r>
          </w:p>
        </w:tc>
      </w:tr>
      <w:tr w:rsidR="00855616" w:rsidRPr="00DC317C" w:rsidTr="0039131D">
        <w:trPr>
          <w:trHeight w:val="288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1939"/>
            <w:vAlign w:val="center"/>
          </w:tcPr>
          <w:p w:rsidR="00855616" w:rsidRPr="00DC317C" w:rsidRDefault="00422C78" w:rsidP="00807201">
            <w:pPr>
              <w:spacing w:line="240" w:lineRule="auto"/>
              <w:outlineLvl w:val="0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  <w:t>Room:</w:t>
            </w:r>
          </w:p>
        </w:tc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464" w:rsidRPr="00DC317C" w:rsidRDefault="00422C78" w:rsidP="00DC6191">
            <w:pPr>
              <w:pStyle w:val="BodyText2"/>
              <w:jc w:val="left"/>
              <w:rPr>
                <w:rFonts w:ascii="Palatino Linotype" w:hAnsi="Palatino Linotype"/>
                <w:bCs w:val="0"/>
                <w:sz w:val="22"/>
                <w:szCs w:val="22"/>
              </w:rPr>
            </w:pPr>
            <w:r w:rsidRPr="00DC317C">
              <w:rPr>
                <w:rFonts w:ascii="Palatino Linotype" w:hAnsi="Palatino Linotype"/>
                <w:bCs w:val="0"/>
                <w:sz w:val="22"/>
                <w:szCs w:val="22"/>
              </w:rPr>
              <w:t xml:space="preserve">Richardson Hall Room </w:t>
            </w:r>
            <w:r w:rsidR="008E5E8C">
              <w:rPr>
                <w:rFonts w:ascii="Palatino Linotype" w:hAnsi="Palatino Linotype"/>
                <w:bCs w:val="0"/>
                <w:sz w:val="22"/>
                <w:szCs w:val="22"/>
              </w:rPr>
              <w:t>2</w:t>
            </w:r>
            <w:r w:rsidRPr="00DC317C">
              <w:rPr>
                <w:rFonts w:ascii="Palatino Linotype" w:hAnsi="Palatino Linotype"/>
                <w:bCs w:val="0"/>
                <w:sz w:val="22"/>
                <w:szCs w:val="22"/>
              </w:rPr>
              <w:t>15</w:t>
            </w:r>
          </w:p>
        </w:tc>
      </w:tr>
      <w:tr w:rsidR="008D630B" w:rsidRPr="00DC317C" w:rsidTr="0039131D">
        <w:trPr>
          <w:trHeight w:val="288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1939"/>
            <w:vAlign w:val="center"/>
          </w:tcPr>
          <w:p w:rsidR="008D630B" w:rsidRPr="00DC317C" w:rsidRDefault="008D630B" w:rsidP="00807201">
            <w:pPr>
              <w:spacing w:line="240" w:lineRule="auto"/>
              <w:outlineLvl w:val="0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  <w:t>Chair:</w:t>
            </w:r>
          </w:p>
        </w:tc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0B" w:rsidRPr="00DC317C" w:rsidRDefault="001D28D8" w:rsidP="00DC0665">
            <w:pPr>
              <w:pStyle w:val="BodyText2"/>
              <w:jc w:val="left"/>
              <w:rPr>
                <w:rFonts w:ascii="Palatino Linotype" w:hAnsi="Palatino Linotype"/>
                <w:bCs w:val="0"/>
                <w:sz w:val="22"/>
                <w:szCs w:val="22"/>
              </w:rPr>
            </w:pPr>
            <w:r w:rsidRPr="00DC317C">
              <w:rPr>
                <w:rFonts w:ascii="Palatino Linotype" w:hAnsi="Palatino Linotype"/>
                <w:bCs w:val="0"/>
                <w:sz w:val="22"/>
                <w:szCs w:val="22"/>
              </w:rPr>
              <w:t>J</w:t>
            </w:r>
            <w:r w:rsidR="00994C77" w:rsidRPr="00DC317C">
              <w:rPr>
                <w:rFonts w:ascii="Palatino Linotype" w:hAnsi="Palatino Linotype"/>
                <w:bCs w:val="0"/>
                <w:sz w:val="22"/>
                <w:szCs w:val="22"/>
              </w:rPr>
              <w:t>ohn Pierce (Professor, Department of English Language and Literature)</w:t>
            </w:r>
          </w:p>
          <w:p w:rsidR="00345464" w:rsidRPr="00DC317C" w:rsidRDefault="00345464" w:rsidP="00DC0665">
            <w:pPr>
              <w:pStyle w:val="BodyText2"/>
              <w:jc w:val="left"/>
              <w:rPr>
                <w:rFonts w:ascii="Palatino Linotype" w:hAnsi="Palatino Linotype"/>
                <w:bCs w:val="0"/>
                <w:sz w:val="22"/>
                <w:szCs w:val="22"/>
              </w:rPr>
            </w:pPr>
          </w:p>
        </w:tc>
      </w:tr>
      <w:tr w:rsidR="00855616" w:rsidRPr="00DC317C" w:rsidTr="0039131D">
        <w:trPr>
          <w:trHeight w:val="1070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1939"/>
            <w:vAlign w:val="center"/>
            <w:hideMark/>
          </w:tcPr>
          <w:p w:rsidR="00855616" w:rsidRPr="00DC317C" w:rsidRDefault="00855616" w:rsidP="00807201">
            <w:pPr>
              <w:spacing w:line="240" w:lineRule="auto"/>
              <w:outlineLvl w:val="0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  <w:t>Members: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889" w:rsidRPr="00DC317C" w:rsidRDefault="00E55B44" w:rsidP="00B07236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>Johanne Benard (Arts &amp; Science)</w:t>
            </w:r>
          </w:p>
          <w:p w:rsidR="001E6E5A" w:rsidRPr="008E5E8C" w:rsidRDefault="008E5E8C" w:rsidP="008E5E8C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>Scott Lamoureux (Dept of Geography &amp; Planning)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6231" w:rsidRPr="00DC317C" w:rsidRDefault="009D1C4B" w:rsidP="009D1C4B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>Kate Rowbotham (Smith School of Business)</w:t>
            </w:r>
          </w:p>
        </w:tc>
      </w:tr>
      <w:tr w:rsidR="00B70C77" w:rsidRPr="00DC317C" w:rsidTr="0039131D">
        <w:trPr>
          <w:trHeight w:val="454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1939"/>
            <w:vAlign w:val="center"/>
          </w:tcPr>
          <w:p w:rsidR="00B70C77" w:rsidRPr="00DC317C" w:rsidRDefault="00B70C77" w:rsidP="00807201">
            <w:pPr>
              <w:spacing w:line="240" w:lineRule="auto"/>
              <w:outlineLvl w:val="0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  <w:t>Observers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C77" w:rsidRPr="00DC317C" w:rsidRDefault="00B70C77" w:rsidP="00B07236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>Lon Knox (University Secretary)</w:t>
            </w:r>
          </w:p>
          <w:p w:rsidR="00B70C77" w:rsidRPr="00DC317C" w:rsidRDefault="00B70C77" w:rsidP="00B70C77">
            <w:pPr>
              <w:pStyle w:val="ListParagraph"/>
              <w:tabs>
                <w:tab w:val="right" w:pos="8609"/>
                <w:tab w:val="right" w:pos="9028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C77" w:rsidRPr="00DC317C" w:rsidRDefault="00B70C77" w:rsidP="0044793D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>Victoria Lewarne (AMS Academic Affairs Commissioner)</w:t>
            </w:r>
          </w:p>
          <w:p w:rsidR="00B70C77" w:rsidRPr="00DC317C" w:rsidRDefault="00B70C77" w:rsidP="009D1C4B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 xml:space="preserve">Harry Smith (University Ombudsman) </w:t>
            </w:r>
          </w:p>
        </w:tc>
      </w:tr>
      <w:tr w:rsidR="0050654D" w:rsidRPr="00DC317C" w:rsidTr="0039131D">
        <w:trPr>
          <w:trHeight w:val="454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1939"/>
            <w:vAlign w:val="center"/>
          </w:tcPr>
          <w:p w:rsidR="0050654D" w:rsidRPr="00DC317C" w:rsidRDefault="0050654D" w:rsidP="00807201">
            <w:pPr>
              <w:spacing w:line="240" w:lineRule="auto"/>
              <w:outlineLvl w:val="0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  <w:t>Regrets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E8C" w:rsidRPr="00DC317C" w:rsidRDefault="008E5E8C" w:rsidP="008E5E8C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>Adam Grotsky (SGPS President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- Observer</w:t>
            </w:r>
            <w:r w:rsidRPr="00DC317C">
              <w:rPr>
                <w:rFonts w:ascii="Palatino Linotype" w:hAnsi="Palatino Linotype" w:cs="Arial"/>
                <w:sz w:val="22"/>
                <w:szCs w:val="22"/>
              </w:rPr>
              <w:t>)</w:t>
            </w:r>
          </w:p>
          <w:p w:rsidR="0050654D" w:rsidRPr="00DC317C" w:rsidRDefault="00A6625C" w:rsidP="00B07236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>Jasmine Lagundzija (AMS student-at-large)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E8C" w:rsidRPr="009D1C4B" w:rsidRDefault="008E5E8C" w:rsidP="009D1C4B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Lauren Peacock (SGPS student-at-large)</w:t>
            </w:r>
          </w:p>
        </w:tc>
      </w:tr>
      <w:tr w:rsidR="0073386C" w:rsidRPr="00DC317C" w:rsidTr="0039131D">
        <w:trPr>
          <w:trHeight w:val="454"/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1939"/>
            <w:vAlign w:val="center"/>
          </w:tcPr>
          <w:p w:rsidR="0073386C" w:rsidRPr="00DC317C" w:rsidRDefault="0073386C" w:rsidP="00807201">
            <w:pPr>
              <w:spacing w:line="240" w:lineRule="auto"/>
              <w:outlineLvl w:val="0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</w:rPr>
              <w:t>Administrative Support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6C" w:rsidRPr="00DC317C" w:rsidRDefault="0073386C" w:rsidP="00B07236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>Michael Niven</w:t>
            </w:r>
            <w:r w:rsidR="00436266" w:rsidRPr="00DC317C">
              <w:rPr>
                <w:rFonts w:ascii="Palatino Linotype" w:hAnsi="Palatino Linotype" w:cs="Arial"/>
                <w:sz w:val="22"/>
                <w:szCs w:val="22"/>
              </w:rPr>
              <w:t xml:space="preserve"> (Office of the Provost and Vice-Principal Academic)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86C" w:rsidRPr="00DC317C" w:rsidRDefault="0073386C" w:rsidP="0044793D">
            <w:pPr>
              <w:pStyle w:val="ListParagraph"/>
              <w:numPr>
                <w:ilvl w:val="0"/>
                <w:numId w:val="6"/>
              </w:numPr>
              <w:tabs>
                <w:tab w:val="right" w:pos="8609"/>
                <w:tab w:val="right" w:pos="9028"/>
              </w:tabs>
              <w:spacing w:line="240" w:lineRule="auto"/>
              <w:outlineLvl w:val="0"/>
              <w:rPr>
                <w:rFonts w:ascii="Palatino Linotype" w:hAnsi="Palatino Linotype" w:cs="Arial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sz w:val="22"/>
                <w:szCs w:val="22"/>
              </w:rPr>
              <w:t xml:space="preserve">Peggy Watkin </w:t>
            </w:r>
            <w:r w:rsidR="00436266" w:rsidRPr="00DC317C">
              <w:rPr>
                <w:rFonts w:ascii="Palatino Linotype" w:hAnsi="Palatino Linotype" w:cs="Arial"/>
                <w:sz w:val="22"/>
                <w:szCs w:val="22"/>
              </w:rPr>
              <w:t xml:space="preserve">(Office of the Provost and Vice-Principal Academic)  </w:t>
            </w:r>
          </w:p>
        </w:tc>
      </w:tr>
    </w:tbl>
    <w:p w:rsidR="008C1D9C" w:rsidRPr="00DC317C" w:rsidRDefault="008C1D9C" w:rsidP="00855616">
      <w:pPr>
        <w:rPr>
          <w:rFonts w:ascii="Palatino Linotype" w:hAnsi="Palatino Linotype" w:cs="Arial"/>
          <w:sz w:val="22"/>
          <w:szCs w:val="22"/>
        </w:rPr>
      </w:pPr>
    </w:p>
    <w:p w:rsidR="00E01A7C" w:rsidRPr="00DC317C" w:rsidRDefault="00E01A7C" w:rsidP="00855616">
      <w:pPr>
        <w:rPr>
          <w:rFonts w:ascii="Palatino Linotype" w:hAnsi="Palatino Linotype" w:cs="Arial"/>
          <w:sz w:val="22"/>
          <w:szCs w:val="22"/>
        </w:rPr>
      </w:pPr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6"/>
      </w:tblGrid>
      <w:tr w:rsidR="0039131D" w:rsidRPr="00DC317C" w:rsidTr="0039131D">
        <w:trPr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1939"/>
            <w:hideMark/>
          </w:tcPr>
          <w:p w:rsidR="0039131D" w:rsidRPr="00DC317C" w:rsidRDefault="0039131D" w:rsidP="00DC0665">
            <w:pPr>
              <w:spacing w:line="240" w:lineRule="auto"/>
              <w:outlineLvl w:val="0"/>
              <w:rPr>
                <w:rFonts w:ascii="Palatino Linotype" w:hAnsi="Palatino Linotype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bCs/>
                <w:color w:val="FFFFFF" w:themeColor="background1"/>
                <w:sz w:val="22"/>
                <w:szCs w:val="22"/>
              </w:rPr>
              <w:t>Discussion Item</w:t>
            </w:r>
          </w:p>
        </w:tc>
      </w:tr>
      <w:tr w:rsidR="0039131D" w:rsidRPr="00DC317C" w:rsidTr="0039131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1D" w:rsidRPr="00DC317C" w:rsidRDefault="008359BF" w:rsidP="0039131D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Adoption of the Agenda </w:t>
            </w:r>
            <w:r w:rsidR="0039131D" w:rsidRPr="00DC317C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</w:t>
            </w:r>
          </w:p>
          <w:p w:rsidR="0039131D" w:rsidRPr="00F1518F" w:rsidRDefault="008E5E8C" w:rsidP="0039131D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It was moved by Scott Lamoureux, seconded by Kate Rowbotham</w:t>
            </w:r>
            <w:r w:rsidR="00CE63B3" w:rsidRPr="00F1518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,</w:t>
            </w:r>
            <w:r w:rsidR="008359BF" w:rsidRPr="00F1518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and agreed to adopt the Agenda as circulated.  </w:t>
            </w:r>
            <w:r w:rsidR="0039131D" w:rsidRPr="00F1518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</w:t>
            </w:r>
          </w:p>
          <w:p w:rsidR="000408CB" w:rsidRPr="00DC317C" w:rsidRDefault="000408CB" w:rsidP="0039131D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E5E8C" w:rsidRPr="00DC317C" w:rsidTr="0039131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8C" w:rsidRDefault="008E5E8C" w:rsidP="0039131D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Adoption of the Minutes </w:t>
            </w:r>
          </w:p>
          <w:p w:rsidR="008E5E8C" w:rsidRDefault="008E5E8C" w:rsidP="008E5E8C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It was moved by Johanne Benard, seconded by Kate Rowbotham, and agreed to approve the Minutes of January 11, 2018 as circulated. </w:t>
            </w:r>
          </w:p>
        </w:tc>
      </w:tr>
      <w:tr w:rsidR="0039131D" w:rsidRPr="00DC317C" w:rsidTr="0039131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1D" w:rsidRPr="00DC317C" w:rsidRDefault="0039131D" w:rsidP="002E15C0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Chair’s Report </w:t>
            </w:r>
          </w:p>
          <w:p w:rsidR="006541DF" w:rsidRPr="006541DF" w:rsidRDefault="006541DF" w:rsidP="0024082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Arial"/>
                <w:bCs/>
                <w:i/>
                <w:sz w:val="22"/>
                <w:szCs w:val="22"/>
                <w:u w:val="single"/>
              </w:rPr>
              <w:t xml:space="preserve">Turnitin Syllabi Statement </w:t>
            </w:r>
          </w:p>
          <w:p w:rsidR="006541DF" w:rsidRDefault="0039131D" w:rsidP="0024082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The chair </w:t>
            </w:r>
            <w:r w:rsidR="00BA73CA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reported </w:t>
            </w:r>
            <w:r w:rsidR="008E5E8C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that after consultation with Lon Knox (Secretary of the University and Corporate Counsel) it was determined that the syllabi statement approved by the AI Subcommittee on January 11, 2018 </w:t>
            </w:r>
            <w:r w:rsidR="007D6A77">
              <w:rPr>
                <w:rFonts w:ascii="Palatino Linotype" w:hAnsi="Palatino Linotype" w:cs="Arial"/>
                <w:bCs/>
                <w:sz w:val="22"/>
                <w:szCs w:val="22"/>
              </w:rPr>
              <w:t>did not require further approval</w:t>
            </w:r>
            <w:r w:rsidR="006541D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by the Senate Committee on Academic Development (SCAD). The reasons behind this decision were:</w:t>
            </w:r>
          </w:p>
          <w:p w:rsidR="006541DF" w:rsidRDefault="006541DF" w:rsidP="006541DF">
            <w:pPr>
              <w:pStyle w:val="ListParagraph"/>
              <w:widowControl/>
              <w:numPr>
                <w:ilvl w:val="0"/>
                <w:numId w:val="26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Posting the statement is compulsory as it is a stipulation in the contract between </w:t>
            </w:r>
            <w:r w:rsidRPr="006541DF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Turnitin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and Queen’s University  </w:t>
            </w:r>
          </w:p>
          <w:p w:rsidR="006541DF" w:rsidRDefault="006541DF" w:rsidP="006541DF">
            <w:pPr>
              <w:pStyle w:val="ListParagraph"/>
              <w:widowControl/>
              <w:numPr>
                <w:ilvl w:val="0"/>
                <w:numId w:val="26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Posting the statement is an administrative decision </w:t>
            </w:r>
          </w:p>
          <w:p w:rsidR="006541DF" w:rsidRPr="006541DF" w:rsidRDefault="006541DF" w:rsidP="006541DF">
            <w:pPr>
              <w:pStyle w:val="ListParagraph"/>
              <w:widowControl/>
              <w:numPr>
                <w:ilvl w:val="0"/>
                <w:numId w:val="26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>The statement does not fall within the framework of a university-wide academic policy</w:t>
            </w:r>
          </w:p>
          <w:p w:rsidR="005B0958" w:rsidRDefault="006541DF" w:rsidP="0024082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</w:p>
          <w:p w:rsidR="00820A23" w:rsidRDefault="005B0958" w:rsidP="0024082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lastRenderedPageBreak/>
              <w:t>The chair reported that</w:t>
            </w:r>
            <w:r w:rsidR="007D6A77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the new official statement will be loaded </w:t>
            </w:r>
            <w:r w:rsidR="00361774">
              <w:rPr>
                <w:rFonts w:ascii="Palatino Linotype" w:hAnsi="Palatino Linotype" w:cs="Arial"/>
                <w:bCs/>
                <w:sz w:val="22"/>
                <w:szCs w:val="22"/>
              </w:rPr>
              <w:t>into onQ an</w:t>
            </w:r>
            <w:r w:rsidR="007D6A77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d </w:t>
            </w:r>
            <w:r w:rsidR="00361774">
              <w:rPr>
                <w:rFonts w:ascii="Palatino Linotype" w:hAnsi="Palatino Linotype" w:cs="Arial"/>
                <w:bCs/>
                <w:sz w:val="22"/>
                <w:szCs w:val="22"/>
              </w:rPr>
              <w:t>be available to</w:t>
            </w:r>
            <w:r w:rsidR="007D6A77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all centrally managed courses.  Unfortunately, there is no seamless method to ensure that the syllabi statement is</w:t>
            </w:r>
            <w:r w:rsidR="00361774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also</w:t>
            </w:r>
            <w:r w:rsidR="007D6A77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uploaded to those units who do not subscribe </w:t>
            </w:r>
            <w:r w:rsidR="00361774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to the central platform, e.g. Smith School of Business, Nursing, and Medicine. </w:t>
            </w:r>
          </w:p>
          <w:p w:rsidR="00820A23" w:rsidRDefault="00820A23" w:rsidP="0024082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  <w:p w:rsidR="00820A23" w:rsidRDefault="00820A23" w:rsidP="0024082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As mentioned last month, the chair reiterated that it is still unclear how many courses are using the </w:t>
            </w:r>
            <w:r w:rsidRPr="00820A23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 xml:space="preserve">Turnitin 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function.  In part, this is because ITS does not have solid records on how many instructors have been given permission to use </w:t>
            </w:r>
            <w:r w:rsidRPr="00820A23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Turnitin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via independent access.   </w:t>
            </w:r>
          </w:p>
          <w:p w:rsidR="00820A23" w:rsidRDefault="00820A23" w:rsidP="0024082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  <w:p w:rsidR="00361774" w:rsidRDefault="00361774" w:rsidP="0024082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Arial"/>
                <w:bCs/>
                <w:i/>
                <w:sz w:val="22"/>
                <w:szCs w:val="22"/>
                <w:u w:val="single"/>
              </w:rPr>
              <w:t>AI Annual Report</w:t>
            </w:r>
          </w:p>
          <w:p w:rsidR="00CE63B3" w:rsidRDefault="00361774" w:rsidP="0024082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>The chair report that he has found a disconnect between the onQ Steering Committee and the Academic Integrity Roundtable making it challenging to disseminate accurate information campus</w:t>
            </w:r>
            <w:r w:rsidR="005C379F">
              <w:rPr>
                <w:rFonts w:ascii="Palatino Linotype" w:hAnsi="Palatino Linotype" w:cs="Arial"/>
                <w:bCs/>
                <w:sz w:val="22"/>
                <w:szCs w:val="22"/>
              </w:rPr>
              <w:t>-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wide. This observation will be included in the chair’s annual Academic Integrity report to Senate.   </w:t>
            </w:r>
          </w:p>
          <w:p w:rsidR="00240829" w:rsidRPr="00DC317C" w:rsidRDefault="00240829" w:rsidP="00506412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39131D" w:rsidRPr="00DC317C" w:rsidTr="0039131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1D" w:rsidRDefault="0039131D" w:rsidP="004C65FD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/>
                <w:bCs/>
                <w:i/>
                <w:sz w:val="22"/>
                <w:szCs w:val="22"/>
              </w:rPr>
            </w:pPr>
            <w:r w:rsidRPr="00F1518F">
              <w:rPr>
                <w:rFonts w:ascii="Palatino Linotype" w:hAnsi="Palatino Linotype" w:cs="Arial"/>
                <w:b/>
                <w:bCs/>
                <w:i/>
                <w:sz w:val="22"/>
                <w:szCs w:val="22"/>
              </w:rPr>
              <w:lastRenderedPageBreak/>
              <w:t>T</w:t>
            </w:r>
            <w:r w:rsidR="00CE63B3" w:rsidRPr="00F1518F">
              <w:rPr>
                <w:rFonts w:ascii="Palatino Linotype" w:hAnsi="Palatino Linotype" w:cs="Arial"/>
                <w:b/>
                <w:bCs/>
                <w:i/>
                <w:sz w:val="22"/>
                <w:szCs w:val="22"/>
              </w:rPr>
              <w:t>urnitin</w:t>
            </w:r>
          </w:p>
          <w:p w:rsidR="001B0114" w:rsidRPr="001B0114" w:rsidRDefault="001B0114" w:rsidP="001B0114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Arial"/>
                <w:bCs/>
                <w:i/>
                <w:sz w:val="22"/>
                <w:szCs w:val="22"/>
                <w:u w:val="single"/>
              </w:rPr>
              <w:t xml:space="preserve">University of Toronto Guide </w:t>
            </w:r>
          </w:p>
          <w:p w:rsidR="001B0114" w:rsidRDefault="006E7364" w:rsidP="001B0114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The </w:t>
            </w:r>
            <w:r w:rsidR="001B0114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chair drew attention to the University of Toronto’s guide </w:t>
            </w:r>
            <w:r w:rsidR="00120FDF">
              <w:rPr>
                <w:rFonts w:ascii="Palatino Linotype" w:hAnsi="Palatino Linotype" w:cs="Arial"/>
                <w:bCs/>
                <w:sz w:val="22"/>
                <w:szCs w:val="22"/>
              </w:rPr>
              <w:t>for</w:t>
            </w:r>
            <w:r w:rsidR="001B0114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  <w:r w:rsidR="001B0114" w:rsidRPr="001B0114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Turnitin</w:t>
            </w:r>
            <w:r w:rsidR="001B0114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.  The chair has reached out to U of T and they have granted permission to use their document as a base for developing a similar </w:t>
            </w:r>
            <w:r w:rsidR="00120FD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Queen’s </w:t>
            </w:r>
            <w:r w:rsidR="001B0114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manual. </w:t>
            </w:r>
            <w:r w:rsidR="006D7FDA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It was noted that the frequently asked questions section was very useful for instructors.  </w:t>
            </w:r>
            <w:r w:rsidR="001B0114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</w:p>
          <w:p w:rsidR="00D95119" w:rsidRDefault="00D95119" w:rsidP="00BF20EC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:rsidR="00866301" w:rsidRDefault="00D95119" w:rsidP="00D9511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DC317C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meeting continued with an examination of the “Instructor Condition of Use” document circulated with the Agenda.  A number of amendments were suggested. </w:t>
            </w:r>
            <w:r w:rsidR="00866301">
              <w:rPr>
                <w:rFonts w:ascii="Palatino Linotype" w:hAnsi="Palatino Linotype" w:cs="Arial"/>
                <w:bCs/>
                <w:sz w:val="22"/>
                <w:szCs w:val="22"/>
              </w:rPr>
              <w:t>Consideration was given to whether or not this document could be used as a legal “sign-off” for instructors. It was noted that in some units, the uploading of courses onto a platform is the responsibility of staff not the instructor.</w:t>
            </w:r>
          </w:p>
          <w:p w:rsidR="00866301" w:rsidRDefault="00866301" w:rsidP="00D9511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  <w:p w:rsidR="00D95119" w:rsidRDefault="00D95119" w:rsidP="00D9511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The </w:t>
            </w:r>
            <w:r w:rsidR="005C379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“Instructor Condition of Use” 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document stresses two important </w:t>
            </w:r>
            <w:r w:rsidR="005C379F">
              <w:rPr>
                <w:rFonts w:ascii="Palatino Linotype" w:hAnsi="Palatino Linotype" w:cs="Arial"/>
                <w:bCs/>
                <w:sz w:val="22"/>
                <w:szCs w:val="22"/>
              </w:rPr>
              <w:t>stipulations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>:</w:t>
            </w:r>
          </w:p>
          <w:p w:rsidR="00D95119" w:rsidRDefault="00D95119" w:rsidP="00D95119">
            <w:pPr>
              <w:pStyle w:val="ListParagraph"/>
              <w:widowControl/>
              <w:numPr>
                <w:ilvl w:val="0"/>
                <w:numId w:val="31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Students must be informed at the onset of a course that the instructor intends on using </w:t>
            </w:r>
            <w:r w:rsidRPr="00866301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Turnitin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>;</w:t>
            </w:r>
          </w:p>
          <w:p w:rsidR="00D95119" w:rsidRDefault="00D95119" w:rsidP="00D95119">
            <w:pPr>
              <w:pStyle w:val="ListParagraph"/>
              <w:widowControl/>
              <w:numPr>
                <w:ilvl w:val="0"/>
                <w:numId w:val="31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Students have a right to object to the use of </w:t>
            </w:r>
            <w:r w:rsidRPr="00866301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Turnitin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.  In these cases, a reasonable offline alternative must be offered.  This could entail:  submitting rough work; submitting an annotated bibliography; or, a separate internet search. </w:t>
            </w:r>
            <w:r w:rsidR="006D7FDA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There was general agreement to leave the alternative methods </w:t>
            </w:r>
            <w:r w:rsidR="00866301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to deter and detect plagiarism open-ended. </w:t>
            </w:r>
          </w:p>
          <w:p w:rsidR="00D95119" w:rsidRDefault="00D95119" w:rsidP="00D9511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  <w:p w:rsidR="00D95119" w:rsidRPr="00D95119" w:rsidRDefault="00D95119" w:rsidP="00D95119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>There was discuss</w:t>
            </w:r>
            <w:r w:rsidR="006D7FDA">
              <w:rPr>
                <w:rFonts w:ascii="Palatino Linotype" w:hAnsi="Palatino Linotype" w:cs="Arial"/>
                <w:bCs/>
                <w:sz w:val="22"/>
                <w:szCs w:val="22"/>
              </w:rPr>
              <w:t>ion around whether or not a student could object</w:t>
            </w:r>
            <w:r w:rsidR="00866301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to the use of </w:t>
            </w:r>
            <w:r w:rsidR="00866301" w:rsidRPr="00866301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Turnitin</w:t>
            </w:r>
            <w:r w:rsidR="006D7FDA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on an assignment by assignment basis or if they needed to object on a course by course basis.  </w:t>
            </w:r>
            <w:r w:rsidRPr="00D95119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  <w:r w:rsidRPr="00D95119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</w:p>
          <w:p w:rsidR="00866301" w:rsidRDefault="00866301" w:rsidP="00BF20EC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  <w:p w:rsidR="00BF20EC" w:rsidRDefault="00BF20EC" w:rsidP="00BF20EC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Action:  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>Chair to</w:t>
            </w:r>
            <w:r w:rsidR="006D7FDA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revise University of Toronto Guide and the “Instructor Condition of Use</w:t>
            </w:r>
            <w:r w:rsidR="007F50D1">
              <w:rPr>
                <w:rFonts w:ascii="Palatino Linotype" w:hAnsi="Palatino Linotype" w:cs="Arial"/>
                <w:bCs/>
                <w:sz w:val="22"/>
                <w:szCs w:val="22"/>
              </w:rPr>
              <w:t>”</w:t>
            </w:r>
            <w:r w:rsidR="006D7FDA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document and bring them back to a future meeting of the AI Subcommittee for further discussion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>.</w:t>
            </w:r>
          </w:p>
          <w:p w:rsidR="00BC12D4" w:rsidRPr="00866301" w:rsidRDefault="00BC12D4" w:rsidP="00866301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after="160" w:line="259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39131D" w:rsidRPr="00DC317C" w:rsidTr="0039131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4" w:rsidRPr="001B0114" w:rsidRDefault="001B0114" w:rsidP="00E964C1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1B0114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Other Business – Chinese Tutoring Company Issues </w:t>
            </w:r>
          </w:p>
          <w:p w:rsidR="00754173" w:rsidRDefault="00754173" w:rsidP="001B0114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>The meeting continued with a discussion around tutoring companies that prey on student</w:t>
            </w:r>
            <w:r w:rsidR="00237E9C">
              <w:rPr>
                <w:rFonts w:ascii="Palatino Linotype" w:hAnsi="Palatino Linotype" w:cs="Arial"/>
                <w:bCs/>
                <w:sz w:val="22"/>
                <w:szCs w:val="22"/>
              </w:rPr>
              <w:t>s/parents’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anxiety regarding academic success. </w:t>
            </w:r>
            <w:r w:rsidR="00D4594C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Kate Rowbotham spoke about the Kingston tutoring company “Comm </w:t>
            </w:r>
            <w:hyperlink r:id="rId9" w:history="1">
              <w:r w:rsidR="00D4594C" w:rsidRPr="00D4594C">
                <w:rPr>
                  <w:rStyle w:val="Hyperlink"/>
                  <w:rFonts w:ascii="Palatino Linotype" w:hAnsi="Palatino Linotype" w:cs="Arial"/>
                  <w:bCs/>
                  <w:sz w:val="22"/>
                  <w:szCs w:val="22"/>
                </w:rPr>
                <w:t>Advantage</w:t>
              </w:r>
            </w:hyperlink>
            <w:r w:rsidR="00D4594C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” which position themselves as surrogates of Smith School of Business, and how difficult it is for the University to disassociate and protect </w:t>
            </w:r>
            <w:r w:rsidR="00237E9C">
              <w:rPr>
                <w:rFonts w:ascii="Palatino Linotype" w:hAnsi="Palatino Linotype" w:cs="Arial"/>
                <w:bCs/>
                <w:sz w:val="22"/>
                <w:szCs w:val="22"/>
              </w:rPr>
              <w:t>venerable</w:t>
            </w:r>
            <w:r w:rsidR="00D4594C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students from these types of services.  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</w:p>
          <w:p w:rsidR="00754173" w:rsidRDefault="00754173" w:rsidP="001B0114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  <w:p w:rsidR="00754173" w:rsidRDefault="00754173" w:rsidP="001B0114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lastRenderedPageBreak/>
              <w:t>It has been known that these companies will hold sessions on campus. Often a legitimate student club will book space on behalf of the tutoring company. To det</w:t>
            </w:r>
            <w:r w:rsidR="00820A23">
              <w:rPr>
                <w:rFonts w:ascii="Palatino Linotype" w:hAnsi="Palatino Linotype" w:cs="Arial"/>
                <w:bCs/>
                <w:sz w:val="22"/>
                <w:szCs w:val="22"/>
              </w:rPr>
              <w:t>er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these sessions two possible solutions were discussed:</w:t>
            </w:r>
          </w:p>
          <w:p w:rsidR="00754173" w:rsidRDefault="00754173" w:rsidP="00754173">
            <w:pPr>
              <w:pStyle w:val="ListParagraph"/>
              <w:widowControl/>
              <w:numPr>
                <w:ilvl w:val="0"/>
                <w:numId w:val="27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Amending the </w:t>
            </w:r>
            <w:r w:rsidRPr="00754173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existing </w:t>
            </w:r>
            <w:hyperlink r:id="rId10" w:history="1">
              <w:r w:rsidR="00D4594C" w:rsidRPr="00D4594C">
                <w:rPr>
                  <w:rStyle w:val="Hyperlink"/>
                  <w:rFonts w:ascii="Palatino Linotype" w:hAnsi="Palatino Linotype" w:cs="Arial"/>
                  <w:bCs/>
                  <w:sz w:val="22"/>
                  <w:szCs w:val="22"/>
                </w:rPr>
                <w:t xml:space="preserve">Senate </w:t>
              </w:r>
              <w:r w:rsidRPr="00D4594C">
                <w:rPr>
                  <w:rStyle w:val="Hyperlink"/>
                  <w:rFonts w:ascii="Palatino Linotype" w:hAnsi="Palatino Linotype" w:cs="Arial"/>
                  <w:bCs/>
                  <w:sz w:val="22"/>
                  <w:szCs w:val="22"/>
                </w:rPr>
                <w:t>Space</w:t>
              </w:r>
              <w:r w:rsidR="00D4594C" w:rsidRPr="00D4594C">
                <w:rPr>
                  <w:rStyle w:val="Hyperlink"/>
                  <w:rFonts w:ascii="Palatino Linotype" w:hAnsi="Palatino Linotype" w:cs="Arial"/>
                  <w:bCs/>
                  <w:sz w:val="22"/>
                  <w:szCs w:val="22"/>
                </w:rPr>
                <w:t xml:space="preserve"> Management</w:t>
              </w:r>
            </w:hyperlink>
            <w:r w:rsidR="00D4594C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p</w:t>
            </w:r>
            <w:r w:rsidRPr="00754173">
              <w:rPr>
                <w:rFonts w:ascii="Palatino Linotype" w:hAnsi="Palatino Linotype" w:cs="Arial"/>
                <w:bCs/>
                <w:sz w:val="22"/>
                <w:szCs w:val="22"/>
              </w:rPr>
              <w:t>olicy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to restrict these types of tutoring sessions;</w:t>
            </w:r>
          </w:p>
          <w:p w:rsidR="00641217" w:rsidRPr="00754173" w:rsidRDefault="00754173" w:rsidP="00754173">
            <w:pPr>
              <w:pStyle w:val="ListParagraph"/>
              <w:widowControl/>
              <w:numPr>
                <w:ilvl w:val="0"/>
                <w:numId w:val="27"/>
              </w:numPr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Adding caution stickers to posters advertising </w:t>
            </w:r>
            <w:r w:rsidR="00D52DEB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these types of tutoring sessions.  </w:t>
            </w:r>
            <w:r w:rsidRPr="00754173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  <w:r w:rsidR="00CA7C03" w:rsidRPr="00754173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</w:p>
          <w:p w:rsidR="00CA7C03" w:rsidRDefault="00CA7C03" w:rsidP="00CA7C03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  <w:p w:rsidR="007F50D1" w:rsidRDefault="007F50D1" w:rsidP="0030264E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Action:  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Chair to 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suggest amendments to the Senate Space Management policy that will deter outside tutoring companies from booking Queen’s space. </w:t>
            </w:r>
          </w:p>
          <w:p w:rsidR="007F50D1" w:rsidRDefault="007F50D1" w:rsidP="00754173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  <w:p w:rsidR="00CA7C03" w:rsidRPr="00DC317C" w:rsidRDefault="00754173" w:rsidP="00754173">
            <w:pPr>
              <w:widowControl/>
              <w:tabs>
                <w:tab w:val="clear" w:pos="720"/>
                <w:tab w:val="clear" w:pos="1440"/>
                <w:tab w:val="clear" w:pos="7200"/>
              </w:tabs>
              <w:spacing w:line="240" w:lineRule="auto"/>
              <w:ind w:left="360"/>
              <w:outlineLvl w:val="0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Cs/>
                <w:sz w:val="22"/>
                <w:szCs w:val="22"/>
              </w:rPr>
              <w:t>The meeting adjourned at 4</w:t>
            </w:r>
            <w:r w:rsidR="00CA7C03">
              <w:rPr>
                <w:rFonts w:ascii="Palatino Linotype" w:hAnsi="Palatino Linotype" w:cs="Arial"/>
                <w:bCs/>
                <w:sz w:val="22"/>
                <w:szCs w:val="22"/>
              </w:rPr>
              <w:t>: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>15</w:t>
            </w:r>
            <w:r w:rsidR="00CA7C03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p.m. </w:t>
            </w:r>
          </w:p>
        </w:tc>
      </w:tr>
    </w:tbl>
    <w:p w:rsidR="00107C5E" w:rsidRPr="00DC317C" w:rsidRDefault="00107C5E" w:rsidP="00E20FFC">
      <w:pPr>
        <w:rPr>
          <w:rFonts w:ascii="Palatino Linotype" w:hAnsi="Palatino Linotype" w:cs="Tahoma"/>
          <w:color w:val="000000"/>
          <w:sz w:val="22"/>
          <w:szCs w:val="22"/>
        </w:rPr>
      </w:pPr>
    </w:p>
    <w:p w:rsidR="00453BC4" w:rsidRDefault="0066687D" w:rsidP="0032306F">
      <w:pPr>
        <w:jc w:val="center"/>
        <w:rPr>
          <w:rFonts w:ascii="Palatino Linotype" w:hAnsi="Palatino Linotype"/>
          <w:color w:val="002060"/>
          <w:sz w:val="22"/>
          <w:szCs w:val="22"/>
        </w:rPr>
      </w:pPr>
      <w:r w:rsidRPr="00DC317C">
        <w:rPr>
          <w:rFonts w:ascii="Palatino Linotype" w:hAnsi="Palatino Linotype"/>
          <w:color w:val="002060"/>
          <w:sz w:val="22"/>
          <w:szCs w:val="22"/>
        </w:rPr>
        <w:t>Queen’s University is situated on the territory of the Haudenosaunee &amp; Anishinaabek</w:t>
      </w:r>
    </w:p>
    <w:sectPr w:rsidR="00453BC4" w:rsidSect="00C66139">
      <w:footerReference w:type="default" r:id="rId11"/>
      <w:type w:val="continuous"/>
      <w:pgSz w:w="12240" w:h="15840"/>
      <w:pgMar w:top="720" w:right="720" w:bottom="720" w:left="720" w:header="0" w:footer="7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72" w:rsidRDefault="00F33472">
      <w:r>
        <w:separator/>
      </w:r>
    </w:p>
  </w:endnote>
  <w:endnote w:type="continuationSeparator" w:id="0">
    <w:p w:rsidR="00F33472" w:rsidRDefault="00F3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952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264E" w:rsidRDefault="003026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264E" w:rsidRDefault="00302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72" w:rsidRDefault="00F33472">
      <w:r>
        <w:separator/>
      </w:r>
    </w:p>
  </w:footnote>
  <w:footnote w:type="continuationSeparator" w:id="0">
    <w:p w:rsidR="00F33472" w:rsidRDefault="00F3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3B82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B0C14"/>
    <w:multiLevelType w:val="hybridMultilevel"/>
    <w:tmpl w:val="0930D6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FF1A57"/>
    <w:multiLevelType w:val="hybridMultilevel"/>
    <w:tmpl w:val="4D86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4636C"/>
    <w:multiLevelType w:val="hybridMultilevel"/>
    <w:tmpl w:val="6542F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E66DC"/>
    <w:multiLevelType w:val="hybridMultilevel"/>
    <w:tmpl w:val="2FB6BB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56414"/>
    <w:multiLevelType w:val="hybridMultilevel"/>
    <w:tmpl w:val="24BA6F58"/>
    <w:lvl w:ilvl="0" w:tplc="BDAAAC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A1"/>
    <w:multiLevelType w:val="hybridMultilevel"/>
    <w:tmpl w:val="3EB6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3451"/>
    <w:multiLevelType w:val="hybridMultilevel"/>
    <w:tmpl w:val="7F24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37116"/>
    <w:multiLevelType w:val="hybridMultilevel"/>
    <w:tmpl w:val="F372F256"/>
    <w:lvl w:ilvl="0" w:tplc="C9685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B4FC7"/>
    <w:multiLevelType w:val="hybridMultilevel"/>
    <w:tmpl w:val="90DCE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C5CB8"/>
    <w:multiLevelType w:val="hybridMultilevel"/>
    <w:tmpl w:val="CFDA99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D6CBD"/>
    <w:multiLevelType w:val="hybridMultilevel"/>
    <w:tmpl w:val="53EC04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A220A"/>
    <w:multiLevelType w:val="hybridMultilevel"/>
    <w:tmpl w:val="38E4D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6B9"/>
    <w:multiLevelType w:val="hybridMultilevel"/>
    <w:tmpl w:val="1A464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F18AE"/>
    <w:multiLevelType w:val="multilevel"/>
    <w:tmpl w:val="13D4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B80CFA"/>
    <w:multiLevelType w:val="hybridMultilevel"/>
    <w:tmpl w:val="9CBC58EC"/>
    <w:lvl w:ilvl="0" w:tplc="90E0811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80B17"/>
    <w:multiLevelType w:val="hybridMultilevel"/>
    <w:tmpl w:val="50FA13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791ECD"/>
    <w:multiLevelType w:val="hybridMultilevel"/>
    <w:tmpl w:val="300A6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E276A"/>
    <w:multiLevelType w:val="hybridMultilevel"/>
    <w:tmpl w:val="D898DA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3D019A"/>
    <w:multiLevelType w:val="hybridMultilevel"/>
    <w:tmpl w:val="8986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762A"/>
    <w:multiLevelType w:val="hybridMultilevel"/>
    <w:tmpl w:val="FB5E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B0D0C"/>
    <w:multiLevelType w:val="multilevel"/>
    <w:tmpl w:val="6046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445A73"/>
    <w:multiLevelType w:val="hybridMultilevel"/>
    <w:tmpl w:val="93A2284C"/>
    <w:lvl w:ilvl="0" w:tplc="10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60880E9E"/>
    <w:multiLevelType w:val="hybridMultilevel"/>
    <w:tmpl w:val="330CD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C62E9"/>
    <w:multiLevelType w:val="hybridMultilevel"/>
    <w:tmpl w:val="A12C8492"/>
    <w:lvl w:ilvl="0" w:tplc="BDAAAC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F7AC4"/>
    <w:multiLevelType w:val="hybridMultilevel"/>
    <w:tmpl w:val="98DE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642DE"/>
    <w:multiLevelType w:val="hybridMultilevel"/>
    <w:tmpl w:val="B4C0A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73AA"/>
    <w:multiLevelType w:val="hybridMultilevel"/>
    <w:tmpl w:val="CB2010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5014E"/>
    <w:multiLevelType w:val="hybridMultilevel"/>
    <w:tmpl w:val="6E16DA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9682F"/>
    <w:multiLevelType w:val="hybridMultilevel"/>
    <w:tmpl w:val="A0F08C2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</w:num>
  <w:num w:numId="8">
    <w:abstractNumId w:val="29"/>
  </w:num>
  <w:num w:numId="9">
    <w:abstractNumId w:val="10"/>
  </w:num>
  <w:num w:numId="10">
    <w:abstractNumId w:val="8"/>
  </w:num>
  <w:num w:numId="11">
    <w:abstractNumId w:val="21"/>
  </w:num>
  <w:num w:numId="12">
    <w:abstractNumId w:val="3"/>
  </w:num>
  <w:num w:numId="13">
    <w:abstractNumId w:val="12"/>
  </w:num>
  <w:num w:numId="14">
    <w:abstractNumId w:val="27"/>
  </w:num>
  <w:num w:numId="15">
    <w:abstractNumId w:val="4"/>
  </w:num>
  <w:num w:numId="16">
    <w:abstractNumId w:val="1"/>
  </w:num>
  <w:num w:numId="17">
    <w:abstractNumId w:val="25"/>
  </w:num>
  <w:num w:numId="18">
    <w:abstractNumId w:val="23"/>
  </w:num>
  <w:num w:numId="19">
    <w:abstractNumId w:val="15"/>
  </w:num>
  <w:num w:numId="20">
    <w:abstractNumId w:val="7"/>
  </w:num>
  <w:num w:numId="21">
    <w:abstractNumId w:val="2"/>
  </w:num>
  <w:num w:numId="22">
    <w:abstractNumId w:val="20"/>
  </w:num>
  <w:num w:numId="23">
    <w:abstractNumId w:val="22"/>
  </w:num>
  <w:num w:numId="24">
    <w:abstractNumId w:val="14"/>
  </w:num>
  <w:num w:numId="25">
    <w:abstractNumId w:val="17"/>
  </w:num>
  <w:num w:numId="26">
    <w:abstractNumId w:val="16"/>
  </w:num>
  <w:num w:numId="27">
    <w:abstractNumId w:val="11"/>
  </w:num>
  <w:num w:numId="28">
    <w:abstractNumId w:val="9"/>
  </w:num>
  <w:num w:numId="29">
    <w:abstractNumId w:val="26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6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06"/>
    <w:rsid w:val="000042D1"/>
    <w:rsid w:val="000113F4"/>
    <w:rsid w:val="00017C0D"/>
    <w:rsid w:val="00030159"/>
    <w:rsid w:val="00035206"/>
    <w:rsid w:val="000408CB"/>
    <w:rsid w:val="00044AFD"/>
    <w:rsid w:val="00050F92"/>
    <w:rsid w:val="00080136"/>
    <w:rsid w:val="00086AB5"/>
    <w:rsid w:val="0009443B"/>
    <w:rsid w:val="000A6210"/>
    <w:rsid w:val="000E0331"/>
    <w:rsid w:val="000E6593"/>
    <w:rsid w:val="000F6231"/>
    <w:rsid w:val="00100879"/>
    <w:rsid w:val="00107C5E"/>
    <w:rsid w:val="00117192"/>
    <w:rsid w:val="00120FDF"/>
    <w:rsid w:val="00137889"/>
    <w:rsid w:val="00142BC3"/>
    <w:rsid w:val="001447A0"/>
    <w:rsid w:val="0015056A"/>
    <w:rsid w:val="00152C52"/>
    <w:rsid w:val="00153FF0"/>
    <w:rsid w:val="00160B80"/>
    <w:rsid w:val="0016147C"/>
    <w:rsid w:val="00174827"/>
    <w:rsid w:val="00180A43"/>
    <w:rsid w:val="00180E61"/>
    <w:rsid w:val="001902E9"/>
    <w:rsid w:val="001923B1"/>
    <w:rsid w:val="00194193"/>
    <w:rsid w:val="00195A5E"/>
    <w:rsid w:val="001A1882"/>
    <w:rsid w:val="001A3B99"/>
    <w:rsid w:val="001B0114"/>
    <w:rsid w:val="001D28D8"/>
    <w:rsid w:val="001E151F"/>
    <w:rsid w:val="001E6E5A"/>
    <w:rsid w:val="001F41A7"/>
    <w:rsid w:val="001F5FB8"/>
    <w:rsid w:val="00221A41"/>
    <w:rsid w:val="00225C3B"/>
    <w:rsid w:val="00230A4F"/>
    <w:rsid w:val="00237E9C"/>
    <w:rsid w:val="00240829"/>
    <w:rsid w:val="00243BAD"/>
    <w:rsid w:val="00271995"/>
    <w:rsid w:val="00285957"/>
    <w:rsid w:val="00292319"/>
    <w:rsid w:val="002947C4"/>
    <w:rsid w:val="002B3517"/>
    <w:rsid w:val="002B54D5"/>
    <w:rsid w:val="002E09FD"/>
    <w:rsid w:val="002E15C0"/>
    <w:rsid w:val="002F6482"/>
    <w:rsid w:val="002F718D"/>
    <w:rsid w:val="002F7D84"/>
    <w:rsid w:val="0030264E"/>
    <w:rsid w:val="0030395A"/>
    <w:rsid w:val="003068EB"/>
    <w:rsid w:val="0032306F"/>
    <w:rsid w:val="00331ABD"/>
    <w:rsid w:val="00345464"/>
    <w:rsid w:val="00347F58"/>
    <w:rsid w:val="00352D41"/>
    <w:rsid w:val="00361774"/>
    <w:rsid w:val="003764DB"/>
    <w:rsid w:val="003862A7"/>
    <w:rsid w:val="0039131D"/>
    <w:rsid w:val="003958EE"/>
    <w:rsid w:val="003B4E41"/>
    <w:rsid w:val="003C4ECA"/>
    <w:rsid w:val="003C74A4"/>
    <w:rsid w:val="003F0BAF"/>
    <w:rsid w:val="003F229D"/>
    <w:rsid w:val="003F2C52"/>
    <w:rsid w:val="003F5DB2"/>
    <w:rsid w:val="003F7454"/>
    <w:rsid w:val="003F7F94"/>
    <w:rsid w:val="004015C1"/>
    <w:rsid w:val="00402C99"/>
    <w:rsid w:val="00407A16"/>
    <w:rsid w:val="00422C78"/>
    <w:rsid w:val="00436266"/>
    <w:rsid w:val="0044793D"/>
    <w:rsid w:val="00453BC4"/>
    <w:rsid w:val="00462B00"/>
    <w:rsid w:val="0046378C"/>
    <w:rsid w:val="0047724A"/>
    <w:rsid w:val="00477582"/>
    <w:rsid w:val="004A5CDC"/>
    <w:rsid w:val="004C65FD"/>
    <w:rsid w:val="004D3933"/>
    <w:rsid w:val="004E11FC"/>
    <w:rsid w:val="004E47D9"/>
    <w:rsid w:val="00506412"/>
    <w:rsid w:val="0050654D"/>
    <w:rsid w:val="00513B2C"/>
    <w:rsid w:val="005230A5"/>
    <w:rsid w:val="00523523"/>
    <w:rsid w:val="00524E78"/>
    <w:rsid w:val="00543873"/>
    <w:rsid w:val="005860FF"/>
    <w:rsid w:val="005B0958"/>
    <w:rsid w:val="005C379F"/>
    <w:rsid w:val="005C6D54"/>
    <w:rsid w:val="005E3AAB"/>
    <w:rsid w:val="005F13EF"/>
    <w:rsid w:val="005F29E4"/>
    <w:rsid w:val="00606841"/>
    <w:rsid w:val="00634EBC"/>
    <w:rsid w:val="00640F65"/>
    <w:rsid w:val="00641217"/>
    <w:rsid w:val="006420F8"/>
    <w:rsid w:val="006526FF"/>
    <w:rsid w:val="006541DF"/>
    <w:rsid w:val="006571E8"/>
    <w:rsid w:val="0066687D"/>
    <w:rsid w:val="0067172E"/>
    <w:rsid w:val="006864A2"/>
    <w:rsid w:val="006B1A5A"/>
    <w:rsid w:val="006D7FDA"/>
    <w:rsid w:val="006E7364"/>
    <w:rsid w:val="00711D1A"/>
    <w:rsid w:val="0073386C"/>
    <w:rsid w:val="00735BA5"/>
    <w:rsid w:val="00754173"/>
    <w:rsid w:val="007646D9"/>
    <w:rsid w:val="007A65BE"/>
    <w:rsid w:val="007A6F1E"/>
    <w:rsid w:val="007C1735"/>
    <w:rsid w:val="007C22BE"/>
    <w:rsid w:val="007D6A77"/>
    <w:rsid w:val="007E7708"/>
    <w:rsid w:val="007F1463"/>
    <w:rsid w:val="007F50D1"/>
    <w:rsid w:val="00807201"/>
    <w:rsid w:val="00815F1A"/>
    <w:rsid w:val="00820A23"/>
    <w:rsid w:val="0082249E"/>
    <w:rsid w:val="00823751"/>
    <w:rsid w:val="008359BF"/>
    <w:rsid w:val="00855616"/>
    <w:rsid w:val="00860C60"/>
    <w:rsid w:val="00866301"/>
    <w:rsid w:val="008732CE"/>
    <w:rsid w:val="008778D8"/>
    <w:rsid w:val="008926D5"/>
    <w:rsid w:val="008A0D02"/>
    <w:rsid w:val="008A19C7"/>
    <w:rsid w:val="008C087A"/>
    <w:rsid w:val="008C1D9C"/>
    <w:rsid w:val="008D0235"/>
    <w:rsid w:val="008D630B"/>
    <w:rsid w:val="008E5E8C"/>
    <w:rsid w:val="008F0378"/>
    <w:rsid w:val="008F2723"/>
    <w:rsid w:val="008F745D"/>
    <w:rsid w:val="00915603"/>
    <w:rsid w:val="00917079"/>
    <w:rsid w:val="00921D9C"/>
    <w:rsid w:val="0093138D"/>
    <w:rsid w:val="00934440"/>
    <w:rsid w:val="00947D44"/>
    <w:rsid w:val="0095428D"/>
    <w:rsid w:val="00960938"/>
    <w:rsid w:val="009642EC"/>
    <w:rsid w:val="0098340A"/>
    <w:rsid w:val="00994C77"/>
    <w:rsid w:val="009A663A"/>
    <w:rsid w:val="009B39CC"/>
    <w:rsid w:val="009B4056"/>
    <w:rsid w:val="009C1830"/>
    <w:rsid w:val="009C4A46"/>
    <w:rsid w:val="009C4FFE"/>
    <w:rsid w:val="009C773C"/>
    <w:rsid w:val="009D1C4B"/>
    <w:rsid w:val="009F55F5"/>
    <w:rsid w:val="00A02414"/>
    <w:rsid w:val="00A12A6D"/>
    <w:rsid w:val="00A4405F"/>
    <w:rsid w:val="00A46515"/>
    <w:rsid w:val="00A648D1"/>
    <w:rsid w:val="00A6625C"/>
    <w:rsid w:val="00A7275A"/>
    <w:rsid w:val="00A764DC"/>
    <w:rsid w:val="00A775C8"/>
    <w:rsid w:val="00A930FB"/>
    <w:rsid w:val="00A96A6A"/>
    <w:rsid w:val="00AA13F1"/>
    <w:rsid w:val="00AB0729"/>
    <w:rsid w:val="00AB1D75"/>
    <w:rsid w:val="00AB465D"/>
    <w:rsid w:val="00AC0629"/>
    <w:rsid w:val="00AC5A7D"/>
    <w:rsid w:val="00AC66E1"/>
    <w:rsid w:val="00B01E55"/>
    <w:rsid w:val="00B07236"/>
    <w:rsid w:val="00B073AE"/>
    <w:rsid w:val="00B20FA0"/>
    <w:rsid w:val="00B21F63"/>
    <w:rsid w:val="00B24775"/>
    <w:rsid w:val="00B602BC"/>
    <w:rsid w:val="00B70C77"/>
    <w:rsid w:val="00B83A5B"/>
    <w:rsid w:val="00B85495"/>
    <w:rsid w:val="00BA27B1"/>
    <w:rsid w:val="00BA73CA"/>
    <w:rsid w:val="00BB1EE9"/>
    <w:rsid w:val="00BB2A2E"/>
    <w:rsid w:val="00BB54A4"/>
    <w:rsid w:val="00BB7BEA"/>
    <w:rsid w:val="00BC12D4"/>
    <w:rsid w:val="00BE0295"/>
    <w:rsid w:val="00BF20EC"/>
    <w:rsid w:val="00C009C0"/>
    <w:rsid w:val="00C01EBD"/>
    <w:rsid w:val="00C035C6"/>
    <w:rsid w:val="00C066CB"/>
    <w:rsid w:val="00C14E5A"/>
    <w:rsid w:val="00C2356D"/>
    <w:rsid w:val="00C66139"/>
    <w:rsid w:val="00C73686"/>
    <w:rsid w:val="00CA7C03"/>
    <w:rsid w:val="00CA7F6B"/>
    <w:rsid w:val="00CB00E7"/>
    <w:rsid w:val="00CB0C01"/>
    <w:rsid w:val="00CE63B3"/>
    <w:rsid w:val="00CF5CBD"/>
    <w:rsid w:val="00D04FC7"/>
    <w:rsid w:val="00D165C7"/>
    <w:rsid w:val="00D31781"/>
    <w:rsid w:val="00D41302"/>
    <w:rsid w:val="00D4594C"/>
    <w:rsid w:val="00D52DEB"/>
    <w:rsid w:val="00D56B56"/>
    <w:rsid w:val="00D6757D"/>
    <w:rsid w:val="00D729A7"/>
    <w:rsid w:val="00D95119"/>
    <w:rsid w:val="00DA20C1"/>
    <w:rsid w:val="00DC0665"/>
    <w:rsid w:val="00DC0A22"/>
    <w:rsid w:val="00DC317C"/>
    <w:rsid w:val="00DC3797"/>
    <w:rsid w:val="00DC6191"/>
    <w:rsid w:val="00DD32B2"/>
    <w:rsid w:val="00DE1946"/>
    <w:rsid w:val="00DF57D7"/>
    <w:rsid w:val="00E01A7C"/>
    <w:rsid w:val="00E20FFC"/>
    <w:rsid w:val="00E2751E"/>
    <w:rsid w:val="00E41792"/>
    <w:rsid w:val="00E41CD6"/>
    <w:rsid w:val="00E4248D"/>
    <w:rsid w:val="00E4275B"/>
    <w:rsid w:val="00E55B44"/>
    <w:rsid w:val="00E60FED"/>
    <w:rsid w:val="00E63F08"/>
    <w:rsid w:val="00E66768"/>
    <w:rsid w:val="00E67A10"/>
    <w:rsid w:val="00E7211F"/>
    <w:rsid w:val="00E83D5E"/>
    <w:rsid w:val="00E90F66"/>
    <w:rsid w:val="00E95E2D"/>
    <w:rsid w:val="00EB23FD"/>
    <w:rsid w:val="00EB56A3"/>
    <w:rsid w:val="00EE4A3D"/>
    <w:rsid w:val="00F042FA"/>
    <w:rsid w:val="00F06880"/>
    <w:rsid w:val="00F12F6F"/>
    <w:rsid w:val="00F1470F"/>
    <w:rsid w:val="00F1518F"/>
    <w:rsid w:val="00F20B9C"/>
    <w:rsid w:val="00F30A8B"/>
    <w:rsid w:val="00F33472"/>
    <w:rsid w:val="00F37D28"/>
    <w:rsid w:val="00F42DB8"/>
    <w:rsid w:val="00F55823"/>
    <w:rsid w:val="00F61620"/>
    <w:rsid w:val="00F656A5"/>
    <w:rsid w:val="00F65AFA"/>
    <w:rsid w:val="00F8550A"/>
    <w:rsid w:val="00F96BC0"/>
    <w:rsid w:val="00FA7C42"/>
    <w:rsid w:val="00FB1B1A"/>
    <w:rsid w:val="00FE6797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."/>
  <w:listSeparator w:val=","/>
  <w14:docId w14:val="467DDDA2"/>
  <w15:docId w15:val="{4AE36304-1851-4AE1-A72F-F12003BC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463"/>
    <w:pPr>
      <w:widowControl w:val="0"/>
      <w:tabs>
        <w:tab w:val="left" w:pos="720"/>
        <w:tab w:val="left" w:pos="1440"/>
        <w:tab w:val="left" w:pos="7200"/>
      </w:tabs>
      <w:spacing w:line="320" w:lineRule="atLeast"/>
    </w:pPr>
    <w:rPr>
      <w:rFonts w:ascii="Geneva" w:hAnsi="Geneva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463"/>
    <w:pPr>
      <w:tabs>
        <w:tab w:val="clear" w:pos="720"/>
        <w:tab w:val="clear" w:pos="1440"/>
        <w:tab w:val="clear" w:pos="7200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1463"/>
    <w:pPr>
      <w:tabs>
        <w:tab w:val="clear" w:pos="720"/>
        <w:tab w:val="clear" w:pos="1440"/>
        <w:tab w:val="clear" w:pos="7200"/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17079"/>
    <w:pPr>
      <w:widowControl/>
      <w:tabs>
        <w:tab w:val="clear" w:pos="720"/>
        <w:tab w:val="clear" w:pos="1440"/>
        <w:tab w:val="clear" w:pos="7200"/>
      </w:tabs>
      <w:spacing w:after="220" w:line="180" w:lineRule="atLeast"/>
      <w:ind w:left="835"/>
      <w:jc w:val="both"/>
    </w:pPr>
    <w:rPr>
      <w:rFonts w:ascii="Arial" w:hAnsi="Arial"/>
      <w:spacing w:val="-5"/>
      <w:sz w:val="20"/>
      <w:lang w:val="x-none" w:eastAsia="x-none"/>
    </w:rPr>
  </w:style>
  <w:style w:type="character" w:customStyle="1" w:styleId="BodyTextChar">
    <w:name w:val="Body Text Char"/>
    <w:link w:val="BodyText"/>
    <w:rsid w:val="00917079"/>
    <w:rPr>
      <w:rFonts w:ascii="Arial" w:hAnsi="Arial"/>
      <w:spacing w:val="-5"/>
    </w:rPr>
  </w:style>
  <w:style w:type="character" w:styleId="Emphasis">
    <w:name w:val="Emphasis"/>
    <w:qFormat/>
    <w:rsid w:val="00917079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91707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link w:val="MessageHeader"/>
    <w:rsid w:val="00917079"/>
    <w:rPr>
      <w:rFonts w:ascii="Arial" w:hAnsi="Arial"/>
      <w:spacing w:val="-5"/>
    </w:rPr>
  </w:style>
  <w:style w:type="character" w:customStyle="1" w:styleId="MessageHeaderLabel">
    <w:name w:val="Message Header Label"/>
    <w:rsid w:val="00917079"/>
    <w:rPr>
      <w:rFonts w:ascii="Arial Black" w:hAnsi="Arial Black"/>
      <w:sz w:val="18"/>
    </w:rPr>
  </w:style>
  <w:style w:type="paragraph" w:customStyle="1" w:styleId="CompanyName">
    <w:name w:val="Company Name"/>
    <w:basedOn w:val="Normal"/>
    <w:rsid w:val="00640F65"/>
    <w:pPr>
      <w:keepLines/>
      <w:widowControl/>
      <w:shd w:val="solid" w:color="auto" w:fill="auto"/>
      <w:tabs>
        <w:tab w:val="clear" w:pos="720"/>
        <w:tab w:val="clear" w:pos="1440"/>
        <w:tab w:val="clear" w:pos="7200"/>
      </w:tabs>
      <w:spacing w:line="320" w:lineRule="exact"/>
      <w:jc w:val="center"/>
    </w:pPr>
    <w:rPr>
      <w:rFonts w:ascii="Arial Black" w:hAnsi="Arial Black"/>
      <w:spacing w:val="-15"/>
      <w:sz w:val="32"/>
      <w:szCs w:val="32"/>
    </w:rPr>
  </w:style>
  <w:style w:type="paragraph" w:styleId="BalloonText">
    <w:name w:val="Balloon Text"/>
    <w:basedOn w:val="Normal"/>
    <w:link w:val="BalloonTextChar"/>
    <w:rsid w:val="002B54D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B54D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80E61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80E61"/>
    <w:rPr>
      <w:rFonts w:ascii="Geneva" w:hAnsi="Geneva"/>
      <w:sz w:val="24"/>
    </w:rPr>
  </w:style>
  <w:style w:type="paragraph" w:styleId="FootnoteText">
    <w:name w:val="footnote text"/>
    <w:basedOn w:val="Normal"/>
    <w:link w:val="FootnoteTextChar"/>
    <w:rsid w:val="00180E61"/>
    <w:pPr>
      <w:widowControl/>
      <w:tabs>
        <w:tab w:val="clear" w:pos="720"/>
        <w:tab w:val="clear" w:pos="1440"/>
        <w:tab w:val="clear" w:pos="7200"/>
      </w:tabs>
      <w:spacing w:line="240" w:lineRule="auto"/>
    </w:pPr>
    <w:rPr>
      <w:rFonts w:ascii="Times" w:hAnsi="Times"/>
      <w:sz w:val="20"/>
    </w:rPr>
  </w:style>
  <w:style w:type="character" w:customStyle="1" w:styleId="FootnoteTextChar">
    <w:name w:val="Footnote Text Char"/>
    <w:basedOn w:val="DefaultParagraphFont"/>
    <w:link w:val="FootnoteText"/>
    <w:rsid w:val="00180E61"/>
  </w:style>
  <w:style w:type="character" w:styleId="Hyperlink">
    <w:name w:val="Hyperlink"/>
    <w:rsid w:val="00180E61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855616"/>
    <w:pPr>
      <w:widowControl/>
      <w:tabs>
        <w:tab w:val="clear" w:pos="720"/>
        <w:tab w:val="clear" w:pos="1440"/>
        <w:tab w:val="clear" w:pos="7200"/>
      </w:tabs>
      <w:spacing w:line="240" w:lineRule="auto"/>
      <w:jc w:val="right"/>
    </w:pPr>
    <w:rPr>
      <w:rFonts w:ascii="Arial" w:hAnsi="Arial" w:cs="Arial"/>
      <w:b/>
      <w:bCs/>
      <w:sz w:val="36"/>
    </w:rPr>
  </w:style>
  <w:style w:type="character" w:customStyle="1" w:styleId="BodyText2Char">
    <w:name w:val="Body Text 2 Char"/>
    <w:basedOn w:val="DefaultParagraphFont"/>
    <w:link w:val="BodyText2"/>
    <w:rsid w:val="00855616"/>
    <w:rPr>
      <w:rFonts w:ascii="Arial" w:hAnsi="Arial" w:cs="Arial"/>
      <w:b/>
      <w:bCs/>
      <w:sz w:val="36"/>
      <w:lang w:val="en-US" w:eastAsia="en-US"/>
    </w:rPr>
  </w:style>
  <w:style w:type="paragraph" w:styleId="ListParagraph">
    <w:name w:val="List Paragraph"/>
    <w:basedOn w:val="Normal"/>
    <w:uiPriority w:val="34"/>
    <w:qFormat/>
    <w:rsid w:val="008D6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4193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9A663A"/>
    <w:rPr>
      <w:color w:val="800080" w:themeColor="followedHyperlink"/>
      <w:u w:val="single"/>
    </w:rPr>
  </w:style>
  <w:style w:type="paragraph" w:customStyle="1" w:styleId="Default">
    <w:name w:val="Default"/>
    <w:rsid w:val="00BA73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5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119"/>
    <w:pPr>
      <w:widowControl/>
      <w:tabs>
        <w:tab w:val="clear" w:pos="720"/>
        <w:tab w:val="clear" w:pos="1440"/>
        <w:tab w:val="clear" w:pos="7200"/>
      </w:tabs>
      <w:spacing w:after="16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119"/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264E"/>
    <w:rPr>
      <w:rFonts w:ascii="Geneva" w:hAnsi="Genev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queensu.ca/secretariat/policies/senate/space-management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madvantag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7137-1444-4148-9D74-B02D4F14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3</Pages>
  <Words>824</Words>
  <Characters>4759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Queen's University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watkinm</dc:creator>
  <cp:lastModifiedBy>Margaret Watkin</cp:lastModifiedBy>
  <cp:revision>48</cp:revision>
  <cp:lastPrinted>2018-01-16T15:47:00Z</cp:lastPrinted>
  <dcterms:created xsi:type="dcterms:W3CDTF">2017-10-19T18:46:00Z</dcterms:created>
  <dcterms:modified xsi:type="dcterms:W3CDTF">2018-02-20T21:13:00Z</dcterms:modified>
</cp:coreProperties>
</file>