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31D4" w14:textId="41C76B08" w:rsidR="00740E71" w:rsidRPr="0029378D" w:rsidRDefault="00740E71" w:rsidP="00655CF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9378D">
        <w:rPr>
          <w:rFonts w:ascii="Arial" w:eastAsia="Arial" w:hAnsi="Arial" w:cs="Arial"/>
          <w:b/>
          <w:bCs/>
          <w:sz w:val="24"/>
          <w:szCs w:val="24"/>
        </w:rPr>
        <w:t>Student Guide for Managing Allegations of Academic Integrity Departures</w:t>
      </w:r>
    </w:p>
    <w:p w14:paraId="0F39922E" w14:textId="0B2DF822" w:rsidR="00A86181" w:rsidRPr="0029378D" w:rsidRDefault="00A86181" w:rsidP="00AC04BB">
      <w:pPr>
        <w:pStyle w:val="ListParagraph"/>
        <w:numPr>
          <w:ilvl w:val="0"/>
          <w:numId w:val="8"/>
        </w:numPr>
        <w:ind w:left="720" w:hanging="360"/>
        <w:rPr>
          <w:rFonts w:ascii="Arial" w:eastAsia="Arial" w:hAnsi="Arial" w:cs="Arial"/>
          <w:b/>
          <w:bCs/>
          <w:sz w:val="24"/>
          <w:szCs w:val="24"/>
        </w:rPr>
      </w:pPr>
      <w:r w:rsidRPr="0029378D">
        <w:rPr>
          <w:rFonts w:ascii="Arial" w:eastAsia="Arial" w:hAnsi="Arial" w:cs="Arial"/>
          <w:b/>
          <w:bCs/>
          <w:sz w:val="24"/>
          <w:szCs w:val="24"/>
        </w:rPr>
        <w:t>What does it mean to receive a notice of investigation (NOI)?</w:t>
      </w:r>
    </w:p>
    <w:p w14:paraId="7DDAA7BB" w14:textId="680B1C7F" w:rsidR="0016218D" w:rsidRPr="00773DEA" w:rsidRDefault="00740E71" w:rsidP="7F5C240B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A notice of investigation </w:t>
      </w:r>
      <w:r w:rsidR="008B36B5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means that there is </w:t>
      </w:r>
      <w:r w:rsidR="003F59E5" w:rsidRPr="00773DE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902E6D" w:rsidRPr="00773DEA">
        <w:rPr>
          <w:rFonts w:ascii="Arial" w:eastAsia="Arial" w:hAnsi="Arial" w:cs="Arial"/>
          <w:color w:val="000000" w:themeColor="text1"/>
          <w:sz w:val="24"/>
          <w:szCs w:val="24"/>
        </w:rPr>
        <w:t>n allegation</w:t>
      </w:r>
      <w:r w:rsidR="008B36B5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 of academic integrity departure</w:t>
      </w:r>
      <w:r w:rsidR="003F59E5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 in your academic work. </w:t>
      </w:r>
      <w:r w:rsidR="00902E6D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You have </w:t>
      </w:r>
      <w:r w:rsidR="0016218D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up to </w:t>
      </w:r>
      <w:r w:rsidR="00902E6D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ten </w:t>
      </w:r>
      <w:r w:rsidR="009B4B91" w:rsidRPr="00773DEA">
        <w:rPr>
          <w:rFonts w:ascii="Arial" w:eastAsia="Arial" w:hAnsi="Arial" w:cs="Arial"/>
          <w:color w:val="000000" w:themeColor="text1"/>
          <w:sz w:val="24"/>
          <w:szCs w:val="24"/>
        </w:rPr>
        <w:t>business days</w:t>
      </w:r>
      <w:r w:rsidR="00D13B10" w:rsidRPr="00773DE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9B4B91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6218D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including the </w:t>
      </w:r>
      <w:r w:rsidR="009B4B91" w:rsidRPr="00773DEA">
        <w:rPr>
          <w:rFonts w:ascii="Arial" w:eastAsia="Arial" w:hAnsi="Arial" w:cs="Arial"/>
          <w:color w:val="000000" w:themeColor="text1"/>
          <w:sz w:val="24"/>
          <w:szCs w:val="24"/>
        </w:rPr>
        <w:t>da</w:t>
      </w:r>
      <w:r w:rsidR="0016218D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y the </w:t>
      </w:r>
      <w:r w:rsidR="009B4B91" w:rsidRPr="00773DEA">
        <w:rPr>
          <w:rFonts w:ascii="Arial" w:eastAsia="Arial" w:hAnsi="Arial" w:cs="Arial"/>
          <w:color w:val="000000" w:themeColor="text1"/>
          <w:sz w:val="24"/>
          <w:szCs w:val="24"/>
        </w:rPr>
        <w:t>NOI is issued</w:t>
      </w:r>
      <w:r w:rsidR="00D13B10" w:rsidRPr="00773DE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9B4B91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 to respond to the </w:t>
      </w:r>
      <w:r w:rsidR="0016218D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initial </w:t>
      </w:r>
      <w:r w:rsidR="004339D5" w:rsidRPr="00773DEA">
        <w:rPr>
          <w:rFonts w:ascii="Arial" w:eastAsia="Arial" w:hAnsi="Arial" w:cs="Arial"/>
          <w:color w:val="000000" w:themeColor="text1"/>
          <w:sz w:val="24"/>
          <w:szCs w:val="24"/>
        </w:rPr>
        <w:t>email</w:t>
      </w:r>
      <w:r w:rsidR="0016218D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*. In your response, you must mention that you </w:t>
      </w:r>
      <w:r w:rsidR="00970B29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either want to meet with your instructor to discuss and respond to the allegations </w:t>
      </w:r>
      <w:r w:rsidR="00970B29" w:rsidRPr="00773DEA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OR</w:t>
      </w:r>
      <w:r w:rsidR="00970B29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6218D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that you would </w:t>
      </w:r>
      <w:r w:rsidR="00970B29" w:rsidRPr="00773DEA">
        <w:rPr>
          <w:rFonts w:ascii="Arial" w:eastAsia="Arial" w:hAnsi="Arial" w:cs="Arial"/>
          <w:color w:val="000000" w:themeColor="text1"/>
          <w:sz w:val="24"/>
          <w:szCs w:val="24"/>
        </w:rPr>
        <w:t>prefer to provide a written response to the allegations</w:t>
      </w:r>
      <w:r w:rsidR="003C6AD9" w:rsidRPr="00773DEA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BE7E91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57B1C78" w14:textId="21B93F9F" w:rsidR="007D0BC7" w:rsidRPr="00773DEA" w:rsidRDefault="007D0BC7" w:rsidP="7F5C240B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773DEA">
        <w:rPr>
          <w:rFonts w:ascii="Arial" w:eastAsia="Arial" w:hAnsi="Arial" w:cs="Arial"/>
          <w:color w:val="000000" w:themeColor="text1"/>
          <w:sz w:val="24"/>
          <w:szCs w:val="24"/>
        </w:rPr>
        <w:t>Do not respond quickly!</w:t>
      </w:r>
    </w:p>
    <w:p w14:paraId="5ACA6EE2" w14:textId="17033BA2" w:rsidR="007D0BC7" w:rsidRPr="00773DEA" w:rsidRDefault="007D0BC7" w:rsidP="7F5C240B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Take a deep </w:t>
      </w:r>
      <w:r w:rsidR="0016218D" w:rsidRPr="00773DEA">
        <w:rPr>
          <w:rFonts w:ascii="Arial" w:eastAsia="Arial" w:hAnsi="Arial" w:cs="Arial"/>
          <w:color w:val="000000" w:themeColor="text1"/>
          <w:sz w:val="24"/>
          <w:szCs w:val="24"/>
        </w:rPr>
        <w:t>breath and</w:t>
      </w:r>
      <w:r w:rsidR="008A364E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 calm yourself down.</w:t>
      </w:r>
    </w:p>
    <w:p w14:paraId="6D9FED37" w14:textId="6EA4E5DB" w:rsidR="0016218D" w:rsidRPr="00773DEA" w:rsidRDefault="0016218D" w:rsidP="0016218D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*Note: the </w:t>
      </w:r>
      <w:r w:rsidR="00741F63" w:rsidRPr="00773DEA">
        <w:rPr>
          <w:rFonts w:ascii="Arial" w:eastAsia="Arial" w:hAnsi="Arial" w:cs="Arial"/>
          <w:color w:val="000000" w:themeColor="text1"/>
          <w:sz w:val="24"/>
          <w:szCs w:val="24"/>
        </w:rPr>
        <w:t>“</w:t>
      </w:r>
      <w:r w:rsidRPr="00773DEA">
        <w:rPr>
          <w:rFonts w:ascii="Arial" w:eastAsia="Arial" w:hAnsi="Arial" w:cs="Arial"/>
          <w:color w:val="000000" w:themeColor="text1"/>
          <w:sz w:val="24"/>
          <w:szCs w:val="24"/>
        </w:rPr>
        <w:t>ten business days to respond</w:t>
      </w:r>
      <w:r w:rsidR="00741F63" w:rsidRPr="00773DEA">
        <w:rPr>
          <w:rFonts w:ascii="Arial" w:eastAsia="Arial" w:hAnsi="Arial" w:cs="Arial"/>
          <w:color w:val="000000" w:themeColor="text1"/>
          <w:sz w:val="24"/>
          <w:szCs w:val="24"/>
        </w:rPr>
        <w:t>”</w:t>
      </w:r>
      <w:r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275F6" w:rsidRPr="00773DEA">
        <w:rPr>
          <w:rFonts w:ascii="Arial" w:eastAsia="Arial" w:hAnsi="Arial" w:cs="Arial"/>
          <w:color w:val="000000" w:themeColor="text1"/>
          <w:sz w:val="24"/>
          <w:szCs w:val="24"/>
        </w:rPr>
        <w:t>applies</w:t>
      </w:r>
      <w:r w:rsidR="00AA2825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 to </w:t>
      </w:r>
      <w:r w:rsidR="006275F6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providing a response to </w:t>
      </w:r>
      <w:r w:rsidR="00AA2825" w:rsidRPr="00773DEA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 email and not </w:t>
      </w:r>
      <w:r w:rsidR="00AA2825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responding to </w:t>
      </w:r>
      <w:r w:rsidRPr="00773DEA">
        <w:rPr>
          <w:rFonts w:ascii="Arial" w:eastAsia="Arial" w:hAnsi="Arial" w:cs="Arial"/>
          <w:color w:val="000000" w:themeColor="text1"/>
          <w:sz w:val="24"/>
          <w:szCs w:val="24"/>
        </w:rPr>
        <w:t>the allegations of academic departure*</w:t>
      </w:r>
    </w:p>
    <w:p w14:paraId="5F56A9E7" w14:textId="7B4B007D" w:rsidR="00091B31" w:rsidRPr="00773DEA" w:rsidRDefault="00FF6492" w:rsidP="00AC04BB">
      <w:pPr>
        <w:pStyle w:val="ListParagraph"/>
        <w:numPr>
          <w:ilvl w:val="0"/>
          <w:numId w:val="8"/>
        </w:numPr>
        <w:ind w:left="720" w:hanging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73DE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Choosing Between Your Methods of Responses to Allegations</w:t>
      </w:r>
    </w:p>
    <w:p w14:paraId="075EC5F5" w14:textId="77777777" w:rsidR="00FF6492" w:rsidRPr="00773DEA" w:rsidRDefault="00FF6492" w:rsidP="00FF6492">
      <w:pPr>
        <w:pStyle w:val="ListParagrap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A6BEC1C" w14:textId="48386BD8" w:rsidR="008059EF" w:rsidRPr="00773DEA" w:rsidRDefault="006A4935" w:rsidP="00FF6492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Meet with </w:t>
      </w:r>
      <w:r w:rsidR="00EC595E" w:rsidRPr="00773DEA">
        <w:rPr>
          <w:rFonts w:ascii="Arial" w:eastAsia="Arial" w:hAnsi="Arial" w:cs="Arial"/>
          <w:color w:val="000000" w:themeColor="text1"/>
          <w:sz w:val="24"/>
          <w:szCs w:val="24"/>
        </w:rPr>
        <w:t>your instructor</w:t>
      </w:r>
      <w:r w:rsidR="009B3744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 or their delegate if a delegate is specified</w:t>
      </w:r>
      <w:r w:rsidR="008059EF" w:rsidRPr="00773DEA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EC595E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219C9" w:rsidRPr="00773DEA">
        <w:rPr>
          <w:rFonts w:ascii="Arial" w:eastAsia="Arial" w:hAnsi="Arial" w:cs="Arial"/>
          <w:color w:val="000000" w:themeColor="text1"/>
          <w:sz w:val="24"/>
          <w:szCs w:val="24"/>
        </w:rPr>
        <w:t>*</w:t>
      </w:r>
    </w:p>
    <w:p w14:paraId="14076410" w14:textId="77777777" w:rsidR="008059EF" w:rsidRPr="00773DEA" w:rsidRDefault="00EC595E" w:rsidP="0050788B">
      <w:pPr>
        <w:spacing w:line="240" w:lineRule="auto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</w:p>
    <w:p w14:paraId="0F5044FE" w14:textId="59B5D2D4" w:rsidR="008059EF" w:rsidRPr="00773DEA" w:rsidRDefault="008059EF" w:rsidP="0050788B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73DEA">
        <w:rPr>
          <w:rFonts w:ascii="Arial" w:eastAsia="Arial" w:hAnsi="Arial" w:cs="Arial"/>
          <w:color w:val="000000" w:themeColor="text1"/>
          <w:sz w:val="24"/>
          <w:szCs w:val="24"/>
        </w:rPr>
        <w:t>Provide a written response to the allegations.</w:t>
      </w:r>
      <w:r w:rsidR="005E487F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3D57" w:rsidRPr="00773DEA">
        <w:rPr>
          <w:rFonts w:ascii="Arial" w:eastAsia="Arial" w:hAnsi="Arial" w:cs="Arial"/>
          <w:color w:val="000000" w:themeColor="text1"/>
          <w:sz w:val="24"/>
          <w:szCs w:val="24"/>
        </w:rPr>
        <w:t>**</w:t>
      </w:r>
    </w:p>
    <w:p w14:paraId="2F660541" w14:textId="77777777" w:rsidR="0050788B" w:rsidRPr="00773DEA" w:rsidRDefault="0050788B" w:rsidP="0050788B">
      <w:pPr>
        <w:pStyle w:val="ListParagraph"/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E92484" w14:textId="1F0AAAC3" w:rsidR="003C6AD9" w:rsidRPr="00773DEA" w:rsidRDefault="003C6AD9" w:rsidP="0050788B">
      <w:pPr>
        <w:pStyle w:val="ListParagraph"/>
        <w:numPr>
          <w:ilvl w:val="0"/>
          <w:numId w:val="8"/>
        </w:numPr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73DE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What happens next?</w:t>
      </w:r>
    </w:p>
    <w:p w14:paraId="7745B85A" w14:textId="34560C8E" w:rsidR="003C6AD9" w:rsidRPr="00773DEA" w:rsidRDefault="00AD428B" w:rsidP="00AD428B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* </w:t>
      </w:r>
      <w:r w:rsidR="00B93D57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(a) </w:t>
      </w:r>
      <w:r w:rsidR="006D0C2A" w:rsidRPr="00773DEA">
        <w:rPr>
          <w:rFonts w:ascii="Arial" w:eastAsia="Arial" w:hAnsi="Arial" w:cs="Arial"/>
          <w:color w:val="000000" w:themeColor="text1"/>
          <w:sz w:val="24"/>
          <w:szCs w:val="24"/>
        </w:rPr>
        <w:t>If you cho</w:t>
      </w:r>
      <w:r w:rsidR="00695247" w:rsidRPr="00773DE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6D0C2A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se to meet with your instructor, </w:t>
      </w:r>
      <w:r w:rsidR="00CB4F57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the instructor will schedule a meeting. You </w:t>
      </w:r>
      <w:r w:rsidR="00695247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will </w:t>
      </w:r>
      <w:r w:rsidR="00EE5129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need to prepare </w:t>
      </w:r>
      <w:r w:rsidR="002935CB" w:rsidRPr="00773DEA">
        <w:rPr>
          <w:rFonts w:ascii="Arial" w:eastAsia="Arial" w:hAnsi="Arial" w:cs="Arial"/>
          <w:color w:val="000000" w:themeColor="text1"/>
          <w:sz w:val="24"/>
          <w:szCs w:val="24"/>
        </w:rPr>
        <w:t xml:space="preserve">and bring to the meeting </w:t>
      </w:r>
      <w:r w:rsidR="00EE5129" w:rsidRPr="00773DEA">
        <w:rPr>
          <w:rFonts w:ascii="Arial" w:eastAsia="Arial" w:hAnsi="Arial" w:cs="Arial"/>
          <w:color w:val="000000" w:themeColor="text1"/>
          <w:sz w:val="24"/>
          <w:szCs w:val="24"/>
        </w:rPr>
        <w:t>your responses to the academic integrity departure allegations and the documents you want to use in your response</w:t>
      </w:r>
      <w:r w:rsidR="00832920" w:rsidRPr="00773DE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DDB7330" w14:textId="09F4204A" w:rsidR="00832920" w:rsidRPr="00E158CB" w:rsidRDefault="00832920" w:rsidP="00AD428B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158CB">
        <w:rPr>
          <w:rFonts w:ascii="Arial" w:eastAsia="Arial" w:hAnsi="Arial" w:cs="Arial"/>
          <w:color w:val="000000" w:themeColor="text1"/>
          <w:sz w:val="24"/>
          <w:szCs w:val="24"/>
        </w:rPr>
        <w:t>You can also</w:t>
      </w:r>
      <w:r w:rsidR="00695247" w:rsidRPr="00E158C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F3B9E" w:rsidRPr="00E158CB">
        <w:rPr>
          <w:rFonts w:ascii="Arial" w:eastAsia="Arial" w:hAnsi="Arial" w:cs="Arial"/>
          <w:color w:val="000000" w:themeColor="text1"/>
          <w:sz w:val="24"/>
          <w:szCs w:val="24"/>
        </w:rPr>
        <w:t>bring a support person with you to the meeting to provide emotional support for you.</w:t>
      </w:r>
      <w:r w:rsidR="006765CE" w:rsidRPr="00E158C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7BE6" w:rsidRPr="00E158CB">
        <w:rPr>
          <w:rFonts w:ascii="Arial" w:eastAsia="Arial" w:hAnsi="Arial" w:cs="Arial"/>
          <w:color w:val="000000" w:themeColor="text1"/>
          <w:sz w:val="24"/>
          <w:szCs w:val="24"/>
        </w:rPr>
        <w:t>However, t</w:t>
      </w:r>
      <w:r w:rsidR="008F3B9E" w:rsidRPr="00E158CB">
        <w:rPr>
          <w:rFonts w:ascii="Arial" w:eastAsia="Arial" w:hAnsi="Arial" w:cs="Arial"/>
          <w:color w:val="000000" w:themeColor="text1"/>
          <w:sz w:val="24"/>
          <w:szCs w:val="24"/>
        </w:rPr>
        <w:t>his person ca</w:t>
      </w:r>
      <w:r w:rsidR="00B06139" w:rsidRPr="00E158CB">
        <w:rPr>
          <w:rFonts w:ascii="Arial" w:eastAsia="Arial" w:hAnsi="Arial" w:cs="Arial"/>
          <w:color w:val="000000" w:themeColor="text1"/>
          <w:sz w:val="24"/>
          <w:szCs w:val="24"/>
        </w:rPr>
        <w:t xml:space="preserve">n </w:t>
      </w:r>
      <w:r w:rsidR="00B06139" w:rsidRPr="00E158CB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only</w:t>
      </w:r>
      <w:r w:rsidR="00B06139" w:rsidRPr="00E158C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73DEA" w:rsidRPr="00E158CB">
        <w:rPr>
          <w:rFonts w:ascii="Arial" w:eastAsia="Arial" w:hAnsi="Arial" w:cs="Arial"/>
          <w:color w:val="000000" w:themeColor="text1"/>
          <w:sz w:val="24"/>
          <w:szCs w:val="24"/>
        </w:rPr>
        <w:t>provide emotional support for</w:t>
      </w:r>
      <w:r w:rsidR="00B06139" w:rsidRPr="00E158CB">
        <w:rPr>
          <w:rFonts w:ascii="Arial" w:eastAsia="Arial" w:hAnsi="Arial" w:cs="Arial"/>
          <w:color w:val="000000" w:themeColor="text1"/>
          <w:sz w:val="24"/>
          <w:szCs w:val="24"/>
        </w:rPr>
        <w:t xml:space="preserve"> you</w:t>
      </w:r>
      <w:r w:rsidR="00710C01" w:rsidRPr="00E158CB">
        <w:rPr>
          <w:rFonts w:ascii="Arial" w:eastAsia="Arial" w:hAnsi="Arial" w:cs="Arial"/>
          <w:color w:val="000000" w:themeColor="text1"/>
          <w:sz w:val="24"/>
          <w:szCs w:val="24"/>
        </w:rPr>
        <w:t xml:space="preserve"> and cannot aid you in responding to the </w:t>
      </w:r>
      <w:r w:rsidR="00247BE6" w:rsidRPr="00E158CB">
        <w:rPr>
          <w:rFonts w:ascii="Arial" w:eastAsia="Arial" w:hAnsi="Arial" w:cs="Arial"/>
          <w:color w:val="000000" w:themeColor="text1"/>
          <w:sz w:val="24"/>
          <w:szCs w:val="24"/>
        </w:rPr>
        <w:t>allegations</w:t>
      </w:r>
      <w:r w:rsidR="00710C01" w:rsidRPr="00E158CB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D4FB4FE" w14:textId="18000E2F" w:rsidR="00710C01" w:rsidRPr="0029378D" w:rsidRDefault="007A55CA" w:rsidP="00710C01">
      <w:pPr>
        <w:ind w:left="360"/>
        <w:rPr>
          <w:rFonts w:ascii="Arial" w:eastAsia="Arial" w:hAnsi="Arial" w:cs="Arial"/>
          <w:color w:val="FF0000"/>
          <w:sz w:val="24"/>
          <w:szCs w:val="24"/>
        </w:rPr>
      </w:pPr>
      <w:r w:rsidRPr="0029378D">
        <w:rPr>
          <w:rFonts w:ascii="Arial" w:eastAsia="Arial" w:hAnsi="Arial" w:cs="Arial"/>
          <w:sz w:val="24"/>
          <w:szCs w:val="24"/>
        </w:rPr>
        <w:t xml:space="preserve">** (b) If you choose to provide a written response to the notice of investigation, </w:t>
      </w:r>
      <w:r w:rsidR="00724216" w:rsidRPr="0029378D">
        <w:rPr>
          <w:rFonts w:ascii="Arial" w:eastAsia="Arial" w:hAnsi="Arial" w:cs="Arial"/>
          <w:sz w:val="24"/>
          <w:szCs w:val="24"/>
        </w:rPr>
        <w:t xml:space="preserve">you </w:t>
      </w:r>
      <w:r w:rsidR="00710C01" w:rsidRPr="00976E47">
        <w:rPr>
          <w:rFonts w:ascii="Arial" w:eastAsia="Arial" w:hAnsi="Arial" w:cs="Arial"/>
          <w:color w:val="000000" w:themeColor="text1"/>
          <w:sz w:val="24"/>
          <w:szCs w:val="24"/>
        </w:rPr>
        <w:t>must respond to the notice of investigation explaining your decision. In this explanation</w:t>
      </w:r>
      <w:r w:rsidR="00A3131B" w:rsidRPr="00976E4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710C01" w:rsidRPr="00976E47">
        <w:rPr>
          <w:rFonts w:ascii="Arial" w:eastAsia="Arial" w:hAnsi="Arial" w:cs="Arial"/>
          <w:color w:val="000000" w:themeColor="text1"/>
          <w:sz w:val="24"/>
          <w:szCs w:val="24"/>
        </w:rPr>
        <w:t xml:space="preserve"> you must provide your response to the allegation and attach any documents that support your response</w:t>
      </w:r>
      <w:r w:rsidR="00EB61A4" w:rsidRPr="00976E47">
        <w:rPr>
          <w:rFonts w:ascii="Arial" w:eastAsia="Arial" w:hAnsi="Arial" w:cs="Arial"/>
          <w:color w:val="000000" w:themeColor="text1"/>
          <w:sz w:val="24"/>
          <w:szCs w:val="24"/>
        </w:rPr>
        <w:t xml:space="preserve">. You </w:t>
      </w:r>
      <w:r w:rsidR="005D05E2" w:rsidRPr="00976E47">
        <w:rPr>
          <w:rFonts w:ascii="Arial" w:eastAsia="Arial" w:hAnsi="Arial" w:cs="Arial"/>
          <w:color w:val="000000" w:themeColor="text1"/>
          <w:sz w:val="24"/>
          <w:szCs w:val="24"/>
        </w:rPr>
        <w:t>have five/5 business days</w:t>
      </w:r>
      <w:r w:rsidR="00E7667A" w:rsidRPr="00976E47">
        <w:rPr>
          <w:rFonts w:ascii="Arial" w:eastAsia="Arial" w:hAnsi="Arial" w:cs="Arial"/>
          <w:color w:val="000000" w:themeColor="text1"/>
          <w:sz w:val="24"/>
          <w:szCs w:val="24"/>
        </w:rPr>
        <w:t xml:space="preserve"> to provide your written response from the date you respond to the NOI</w:t>
      </w:r>
      <w:r w:rsidR="005D05E2" w:rsidRPr="00976E4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399F6FE" w14:textId="5060D171" w:rsidR="00F626E7" w:rsidRPr="0029378D" w:rsidRDefault="00F626E7" w:rsidP="00710C01">
      <w:pPr>
        <w:ind w:left="360"/>
        <w:rPr>
          <w:rFonts w:ascii="Arial" w:eastAsia="Arial" w:hAnsi="Arial" w:cs="Arial"/>
          <w:b/>
          <w:bCs/>
          <w:sz w:val="24"/>
          <w:szCs w:val="24"/>
        </w:rPr>
      </w:pPr>
      <w:r w:rsidRPr="0029378D">
        <w:rPr>
          <w:rFonts w:ascii="Arial" w:eastAsia="Arial" w:hAnsi="Arial" w:cs="Arial"/>
          <w:b/>
          <w:bCs/>
          <w:sz w:val="24"/>
          <w:szCs w:val="24"/>
        </w:rPr>
        <w:t>What are your next steps?</w:t>
      </w:r>
    </w:p>
    <w:p w14:paraId="59D32349" w14:textId="25DCBFF0" w:rsidR="00F626E7" w:rsidRPr="0029378D" w:rsidRDefault="00AA49CD" w:rsidP="00AD428B">
      <w:pPr>
        <w:ind w:left="360"/>
        <w:rPr>
          <w:rFonts w:ascii="Arial" w:eastAsia="Arial" w:hAnsi="Arial" w:cs="Arial"/>
          <w:sz w:val="24"/>
          <w:szCs w:val="24"/>
        </w:rPr>
      </w:pPr>
      <w:r w:rsidRPr="0029378D">
        <w:rPr>
          <w:rFonts w:ascii="Arial" w:eastAsia="Arial" w:hAnsi="Arial" w:cs="Arial"/>
          <w:sz w:val="24"/>
          <w:szCs w:val="24"/>
        </w:rPr>
        <w:t xml:space="preserve">Your instructor, or their delegate, based on all the evidence and </w:t>
      </w:r>
      <w:r w:rsidRPr="00B23F96">
        <w:rPr>
          <w:rFonts w:ascii="Arial" w:eastAsia="Arial" w:hAnsi="Arial" w:cs="Arial"/>
          <w:color w:val="000000" w:themeColor="text1"/>
          <w:sz w:val="24"/>
          <w:szCs w:val="24"/>
        </w:rPr>
        <w:t xml:space="preserve">your response, </w:t>
      </w:r>
      <w:r w:rsidR="00710C01" w:rsidRPr="00B23F96">
        <w:rPr>
          <w:rFonts w:ascii="Arial" w:eastAsia="Arial" w:hAnsi="Arial" w:cs="Arial"/>
          <w:color w:val="000000" w:themeColor="text1"/>
          <w:sz w:val="24"/>
          <w:szCs w:val="24"/>
        </w:rPr>
        <w:t xml:space="preserve">will decide </w:t>
      </w:r>
      <w:r w:rsidRPr="00B23F96">
        <w:rPr>
          <w:rFonts w:ascii="Arial" w:eastAsia="Arial" w:hAnsi="Arial" w:cs="Arial"/>
          <w:color w:val="000000" w:themeColor="text1"/>
          <w:sz w:val="24"/>
          <w:szCs w:val="24"/>
        </w:rPr>
        <w:t>whether an academic integrity departure occurred or not</w:t>
      </w:r>
      <w:r w:rsidRPr="0029378D">
        <w:rPr>
          <w:rFonts w:ascii="Arial" w:eastAsia="Arial" w:hAnsi="Arial" w:cs="Arial"/>
          <w:sz w:val="24"/>
          <w:szCs w:val="24"/>
        </w:rPr>
        <w:t xml:space="preserve">. </w:t>
      </w:r>
      <w:r w:rsidR="00826667" w:rsidRPr="0029378D">
        <w:rPr>
          <w:rFonts w:ascii="Arial" w:eastAsia="Arial" w:hAnsi="Arial" w:cs="Arial"/>
          <w:sz w:val="24"/>
          <w:szCs w:val="24"/>
        </w:rPr>
        <w:t xml:space="preserve">You will receive an email </w:t>
      </w:r>
      <w:r w:rsidR="00DB312D" w:rsidRPr="0029378D">
        <w:rPr>
          <w:rFonts w:ascii="Arial" w:eastAsia="Arial" w:hAnsi="Arial" w:cs="Arial"/>
          <w:sz w:val="24"/>
          <w:szCs w:val="24"/>
        </w:rPr>
        <w:t>about the</w:t>
      </w:r>
      <w:r w:rsidR="003F61D7" w:rsidRPr="0029378D">
        <w:rPr>
          <w:rFonts w:ascii="Arial" w:eastAsia="Arial" w:hAnsi="Arial" w:cs="Arial"/>
          <w:sz w:val="24"/>
          <w:szCs w:val="24"/>
        </w:rPr>
        <w:t xml:space="preserve"> </w:t>
      </w:r>
      <w:r w:rsidR="00E63E6A" w:rsidRPr="0029378D">
        <w:rPr>
          <w:rFonts w:ascii="Arial" w:eastAsia="Arial" w:hAnsi="Arial" w:cs="Arial"/>
          <w:sz w:val="24"/>
          <w:szCs w:val="24"/>
        </w:rPr>
        <w:t>decision</w:t>
      </w:r>
      <w:r w:rsidR="00710C01" w:rsidRPr="0029378D">
        <w:rPr>
          <w:rFonts w:ascii="Arial" w:eastAsia="Arial" w:hAnsi="Arial" w:cs="Arial"/>
          <w:sz w:val="24"/>
          <w:szCs w:val="24"/>
        </w:rPr>
        <w:t>.</w:t>
      </w:r>
      <w:r w:rsidR="00E63E6A" w:rsidRPr="0029378D">
        <w:rPr>
          <w:rFonts w:ascii="Arial" w:eastAsia="Arial" w:hAnsi="Arial" w:cs="Arial"/>
          <w:sz w:val="24"/>
          <w:szCs w:val="24"/>
        </w:rPr>
        <w:t xml:space="preserve"> The decision can be either there </w:t>
      </w:r>
      <w:r w:rsidR="00AA744B" w:rsidRPr="0029378D">
        <w:rPr>
          <w:rFonts w:ascii="Arial" w:eastAsia="Arial" w:hAnsi="Arial" w:cs="Arial"/>
          <w:sz w:val="24"/>
          <w:szCs w:val="24"/>
        </w:rPr>
        <w:t xml:space="preserve">is no evidence to support </w:t>
      </w:r>
      <w:r w:rsidR="00AA744B" w:rsidRPr="0029378D">
        <w:rPr>
          <w:rFonts w:ascii="Arial" w:eastAsia="Arial" w:hAnsi="Arial" w:cs="Arial"/>
          <w:sz w:val="24"/>
          <w:szCs w:val="24"/>
        </w:rPr>
        <w:lastRenderedPageBreak/>
        <w:t>a finding of academic integrity departure or there is evidence supporting a finding of academic integrity departure.</w:t>
      </w:r>
      <w:r w:rsidR="00E63E6A" w:rsidRPr="0029378D">
        <w:rPr>
          <w:rFonts w:ascii="Arial" w:eastAsia="Arial" w:hAnsi="Arial" w:cs="Arial"/>
          <w:sz w:val="24"/>
          <w:szCs w:val="24"/>
        </w:rPr>
        <w:t xml:space="preserve"> </w:t>
      </w:r>
      <w:r w:rsidR="003F61D7" w:rsidRPr="0029378D">
        <w:rPr>
          <w:rFonts w:ascii="Arial" w:eastAsia="Arial" w:hAnsi="Arial" w:cs="Arial"/>
          <w:sz w:val="24"/>
          <w:szCs w:val="24"/>
        </w:rPr>
        <w:t xml:space="preserve"> </w:t>
      </w:r>
      <w:r w:rsidR="00826667" w:rsidRPr="0029378D">
        <w:rPr>
          <w:rFonts w:ascii="Arial" w:eastAsia="Arial" w:hAnsi="Arial" w:cs="Arial"/>
          <w:sz w:val="24"/>
          <w:szCs w:val="24"/>
        </w:rPr>
        <w:t xml:space="preserve"> </w:t>
      </w:r>
    </w:p>
    <w:p w14:paraId="4A2C65CB" w14:textId="1FDB5CBA" w:rsidR="00A24669" w:rsidRPr="0029378D" w:rsidRDefault="00710C01" w:rsidP="0050788B">
      <w:pPr>
        <w:pStyle w:val="ListParagraph"/>
        <w:numPr>
          <w:ilvl w:val="0"/>
          <w:numId w:val="8"/>
        </w:numPr>
        <w:ind w:left="720" w:hanging="360"/>
        <w:rPr>
          <w:rFonts w:ascii="Arial" w:eastAsia="Arial" w:hAnsi="Arial" w:cs="Arial"/>
          <w:b/>
          <w:bCs/>
          <w:sz w:val="24"/>
          <w:szCs w:val="24"/>
        </w:rPr>
      </w:pPr>
      <w:r w:rsidRPr="0029378D">
        <w:rPr>
          <w:rFonts w:ascii="Arial" w:eastAsia="Arial" w:hAnsi="Arial" w:cs="Arial"/>
          <w:b/>
          <w:bCs/>
          <w:sz w:val="24"/>
          <w:szCs w:val="24"/>
        </w:rPr>
        <w:t>Responding to the findings</w:t>
      </w:r>
    </w:p>
    <w:p w14:paraId="0D464941" w14:textId="76217057" w:rsidR="00A24669" w:rsidRPr="00B23F96" w:rsidRDefault="00A24669" w:rsidP="00AD428B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9378D">
        <w:rPr>
          <w:rFonts w:ascii="Arial" w:eastAsia="Arial" w:hAnsi="Arial" w:cs="Arial"/>
          <w:sz w:val="24"/>
          <w:szCs w:val="24"/>
        </w:rPr>
        <w:t xml:space="preserve">The finding </w:t>
      </w:r>
      <w:r w:rsidR="00710C01" w:rsidRPr="00B23F96">
        <w:rPr>
          <w:rFonts w:ascii="Arial" w:eastAsia="Arial" w:hAnsi="Arial" w:cs="Arial"/>
          <w:color w:val="000000" w:themeColor="text1"/>
          <w:sz w:val="24"/>
          <w:szCs w:val="24"/>
        </w:rPr>
        <w:t>will be one of two categories:</w:t>
      </w:r>
    </w:p>
    <w:p w14:paraId="2B5AD756" w14:textId="292A8024" w:rsidR="00A24669" w:rsidRPr="00B23F96" w:rsidRDefault="00E02E27" w:rsidP="00E02E27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B23F96">
        <w:rPr>
          <w:rFonts w:ascii="Arial" w:eastAsia="Arial" w:hAnsi="Arial" w:cs="Arial"/>
          <w:color w:val="000000" w:themeColor="text1"/>
          <w:sz w:val="24"/>
          <w:szCs w:val="24"/>
        </w:rPr>
        <w:t xml:space="preserve">There is </w:t>
      </w:r>
      <w:r w:rsidRPr="00B23F96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not</w:t>
      </w:r>
      <w:r w:rsidRPr="00B23F96">
        <w:rPr>
          <w:rFonts w:ascii="Arial" w:eastAsia="Arial" w:hAnsi="Arial" w:cs="Arial"/>
          <w:color w:val="000000" w:themeColor="text1"/>
          <w:sz w:val="24"/>
          <w:szCs w:val="24"/>
        </w:rPr>
        <w:t xml:space="preserve"> enough evidence </w:t>
      </w:r>
      <w:r w:rsidR="005F14D4" w:rsidRPr="00B23F96">
        <w:rPr>
          <w:rFonts w:ascii="Arial" w:eastAsia="Arial" w:hAnsi="Arial" w:cs="Arial"/>
          <w:color w:val="000000" w:themeColor="text1"/>
          <w:sz w:val="24"/>
          <w:szCs w:val="24"/>
        </w:rPr>
        <w:t xml:space="preserve">supporting an academic integrity departure occurred. </w:t>
      </w:r>
      <w:r w:rsidR="00C97029" w:rsidRPr="00B23F96">
        <w:rPr>
          <w:rFonts w:ascii="Arial" w:eastAsia="Arial" w:hAnsi="Arial" w:cs="Arial"/>
          <w:color w:val="000000" w:themeColor="text1"/>
          <w:sz w:val="24"/>
          <w:szCs w:val="24"/>
        </w:rPr>
        <w:t xml:space="preserve">The case </w:t>
      </w:r>
      <w:r w:rsidR="00710C01" w:rsidRPr="00B23F96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C97029" w:rsidRPr="00B23F9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10C01" w:rsidRPr="00B23F96">
        <w:rPr>
          <w:rFonts w:ascii="Arial" w:eastAsia="Arial" w:hAnsi="Arial" w:cs="Arial"/>
          <w:color w:val="000000" w:themeColor="text1"/>
          <w:sz w:val="24"/>
          <w:szCs w:val="24"/>
        </w:rPr>
        <w:t xml:space="preserve">dismissed, and </w:t>
      </w:r>
      <w:r w:rsidR="00593FEC" w:rsidRPr="00B23F96">
        <w:rPr>
          <w:rFonts w:ascii="Arial" w:eastAsia="Arial" w:hAnsi="Arial" w:cs="Arial"/>
          <w:color w:val="000000" w:themeColor="text1"/>
          <w:sz w:val="24"/>
          <w:szCs w:val="24"/>
        </w:rPr>
        <w:t xml:space="preserve">you </w:t>
      </w:r>
      <w:r w:rsidR="00951881" w:rsidRPr="00B23F96">
        <w:rPr>
          <w:rFonts w:ascii="Arial" w:eastAsia="Arial" w:hAnsi="Arial" w:cs="Arial"/>
          <w:color w:val="000000" w:themeColor="text1"/>
          <w:sz w:val="24"/>
          <w:szCs w:val="24"/>
        </w:rPr>
        <w:t xml:space="preserve">will </w:t>
      </w:r>
      <w:r w:rsidR="00593FEC" w:rsidRPr="00B23F96">
        <w:rPr>
          <w:rFonts w:ascii="Arial" w:eastAsia="Arial" w:hAnsi="Arial" w:cs="Arial"/>
          <w:color w:val="000000" w:themeColor="text1"/>
          <w:sz w:val="24"/>
          <w:szCs w:val="24"/>
        </w:rPr>
        <w:t>receive a case dismissal form</w:t>
      </w:r>
      <w:r w:rsidR="00710C01" w:rsidRPr="00B23F96">
        <w:rPr>
          <w:rFonts w:ascii="Arial" w:eastAsia="Arial" w:hAnsi="Arial" w:cs="Arial"/>
          <w:color w:val="000000" w:themeColor="text1"/>
          <w:sz w:val="24"/>
          <w:szCs w:val="24"/>
        </w:rPr>
        <w:t xml:space="preserve">. All of the information in the file will be destroyed. </w:t>
      </w:r>
      <w:r w:rsidR="00951881" w:rsidRPr="00B23F96">
        <w:rPr>
          <w:rFonts w:ascii="Arial" w:eastAsia="Arial" w:hAnsi="Arial" w:cs="Arial"/>
          <w:color w:val="000000" w:themeColor="text1"/>
          <w:sz w:val="24"/>
          <w:szCs w:val="24"/>
        </w:rPr>
        <w:t>There</w:t>
      </w:r>
      <w:r w:rsidR="00710C01" w:rsidRPr="00B23F96">
        <w:rPr>
          <w:rFonts w:ascii="Arial" w:eastAsia="Arial" w:hAnsi="Arial" w:cs="Arial"/>
          <w:color w:val="000000" w:themeColor="text1"/>
          <w:sz w:val="24"/>
          <w:szCs w:val="24"/>
        </w:rPr>
        <w:t xml:space="preserve"> will be no record of this allegation in your records.</w:t>
      </w:r>
    </w:p>
    <w:p w14:paraId="4E168C55" w14:textId="77777777" w:rsidR="00710C01" w:rsidRPr="0029378D" w:rsidRDefault="00710C01" w:rsidP="00710C01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1B571D98" w14:textId="41B9F5E0" w:rsidR="00C97029" w:rsidRPr="00B62A31" w:rsidRDefault="00C97029" w:rsidP="00E02E27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B62A31">
        <w:rPr>
          <w:rFonts w:ascii="Arial" w:eastAsia="Arial" w:hAnsi="Arial" w:cs="Arial"/>
          <w:color w:val="000000" w:themeColor="text1"/>
          <w:sz w:val="24"/>
          <w:szCs w:val="24"/>
        </w:rPr>
        <w:t xml:space="preserve">There </w:t>
      </w:r>
      <w:r w:rsidRPr="00B62A3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is</w:t>
      </w:r>
      <w:r w:rsidRPr="00B62A31">
        <w:rPr>
          <w:rFonts w:ascii="Arial" w:eastAsia="Arial" w:hAnsi="Arial" w:cs="Arial"/>
          <w:color w:val="000000" w:themeColor="text1"/>
          <w:sz w:val="24"/>
          <w:szCs w:val="24"/>
        </w:rPr>
        <w:t xml:space="preserve"> enough evidence supporting an academic integrity departure occurred. </w:t>
      </w:r>
      <w:r w:rsidR="00593FEC" w:rsidRPr="00B62A31">
        <w:rPr>
          <w:rFonts w:ascii="Arial" w:eastAsia="Arial" w:hAnsi="Arial" w:cs="Arial"/>
          <w:color w:val="000000" w:themeColor="text1"/>
          <w:sz w:val="24"/>
          <w:szCs w:val="24"/>
        </w:rPr>
        <w:t xml:space="preserve">You will </w:t>
      </w:r>
      <w:r w:rsidR="00684C38" w:rsidRPr="00B62A31">
        <w:rPr>
          <w:rFonts w:ascii="Arial" w:eastAsia="Arial" w:hAnsi="Arial" w:cs="Arial"/>
          <w:color w:val="000000" w:themeColor="text1"/>
          <w:sz w:val="24"/>
          <w:szCs w:val="24"/>
        </w:rPr>
        <w:t xml:space="preserve">receive a </w:t>
      </w:r>
      <w:r w:rsidR="000D2CCF" w:rsidRPr="00B62A31">
        <w:rPr>
          <w:rFonts w:ascii="Arial" w:eastAsia="Arial" w:hAnsi="Arial" w:cs="Arial"/>
          <w:color w:val="000000" w:themeColor="text1"/>
          <w:sz w:val="24"/>
          <w:szCs w:val="24"/>
        </w:rPr>
        <w:t>finding form</w:t>
      </w:r>
      <w:r w:rsidR="00593FEC" w:rsidRPr="00B62A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E0137" w:rsidRPr="00B62A31">
        <w:rPr>
          <w:rFonts w:ascii="Arial" w:eastAsia="Arial" w:hAnsi="Arial" w:cs="Arial"/>
          <w:color w:val="000000" w:themeColor="text1"/>
          <w:sz w:val="24"/>
          <w:szCs w:val="24"/>
        </w:rPr>
        <w:t xml:space="preserve">that </w:t>
      </w:r>
      <w:r w:rsidR="003148A6" w:rsidRPr="00B62A31">
        <w:rPr>
          <w:rFonts w:ascii="Arial" w:eastAsia="Arial" w:hAnsi="Arial" w:cs="Arial"/>
          <w:color w:val="000000" w:themeColor="text1"/>
          <w:sz w:val="24"/>
          <w:szCs w:val="24"/>
        </w:rPr>
        <w:t>will</w:t>
      </w:r>
      <w:r w:rsidR="008E0137" w:rsidRPr="00B62A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7D4B" w:rsidRPr="00B62A31">
        <w:rPr>
          <w:rFonts w:ascii="Arial" w:eastAsia="Arial" w:hAnsi="Arial" w:cs="Arial"/>
          <w:color w:val="000000" w:themeColor="text1"/>
          <w:sz w:val="24"/>
          <w:szCs w:val="24"/>
        </w:rPr>
        <w:t xml:space="preserve">explain </w:t>
      </w:r>
      <w:r w:rsidR="003148A6" w:rsidRPr="00B62A31">
        <w:rPr>
          <w:rFonts w:ascii="Arial" w:eastAsia="Arial" w:hAnsi="Arial" w:cs="Arial"/>
          <w:color w:val="000000" w:themeColor="text1"/>
          <w:sz w:val="24"/>
          <w:szCs w:val="24"/>
        </w:rPr>
        <w:t>the next steps</w:t>
      </w:r>
      <w:r w:rsidR="008E0137" w:rsidRPr="00B62A3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13DF9F27" w14:textId="77777777" w:rsidR="00CE5536" w:rsidRPr="0029378D" w:rsidRDefault="00CE5536" w:rsidP="00CE5536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02DA5478" w14:textId="34F67008" w:rsidR="00655CF2" w:rsidRPr="00B62A31" w:rsidRDefault="00715394" w:rsidP="00CE5536">
      <w:pPr>
        <w:pStyle w:val="ListParagraph"/>
        <w:numPr>
          <w:ilvl w:val="0"/>
          <w:numId w:val="8"/>
        </w:numPr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9378D">
        <w:rPr>
          <w:rFonts w:ascii="Arial" w:eastAsia="Arial" w:hAnsi="Arial" w:cs="Arial"/>
          <w:b/>
          <w:bCs/>
          <w:sz w:val="24"/>
          <w:szCs w:val="24"/>
        </w:rPr>
        <w:t xml:space="preserve">What do I do </w:t>
      </w:r>
      <w:r w:rsidRPr="00B62A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</w:t>
      </w:r>
      <w:r w:rsidR="003148A6" w:rsidRPr="00B62A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there is enough evidence supporting an academic integrity departure</w:t>
      </w:r>
      <w:r w:rsidRPr="00B62A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568763E5" w14:textId="1C09FA5E" w:rsidR="00512D4E" w:rsidRPr="0029378D" w:rsidRDefault="00981B8B" w:rsidP="00E27A92">
      <w:pPr>
        <w:rPr>
          <w:rFonts w:ascii="Arial" w:eastAsia="Arial" w:hAnsi="Arial" w:cs="Arial"/>
          <w:sz w:val="24"/>
          <w:szCs w:val="24"/>
        </w:rPr>
      </w:pPr>
      <w:r w:rsidRPr="0029378D">
        <w:rPr>
          <w:rFonts w:ascii="Arial" w:eastAsia="Arial" w:hAnsi="Arial" w:cs="Arial"/>
          <w:sz w:val="24"/>
          <w:szCs w:val="24"/>
        </w:rPr>
        <w:t xml:space="preserve">You can choose </w:t>
      </w:r>
      <w:r w:rsidR="00512D4E" w:rsidRPr="0029378D">
        <w:rPr>
          <w:rFonts w:ascii="Arial" w:eastAsia="Arial" w:hAnsi="Arial" w:cs="Arial"/>
          <w:sz w:val="24"/>
          <w:szCs w:val="24"/>
        </w:rPr>
        <w:t>either of the following</w:t>
      </w:r>
      <w:r w:rsidR="00C440F3" w:rsidRPr="0029378D">
        <w:rPr>
          <w:rFonts w:ascii="Arial" w:eastAsia="Arial" w:hAnsi="Arial" w:cs="Arial"/>
          <w:sz w:val="24"/>
          <w:szCs w:val="24"/>
        </w:rPr>
        <w:t>:</w:t>
      </w:r>
    </w:p>
    <w:p w14:paraId="50CF6633" w14:textId="0BB3D101" w:rsidR="00512D4E" w:rsidRPr="0029378D" w:rsidRDefault="00981B8B" w:rsidP="00512D4E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0029378D">
        <w:rPr>
          <w:rFonts w:ascii="Arial" w:eastAsia="Arial" w:hAnsi="Arial" w:cs="Arial"/>
          <w:sz w:val="24"/>
          <w:szCs w:val="24"/>
        </w:rPr>
        <w:t>accept the decision</w:t>
      </w:r>
      <w:r w:rsidR="00512D4E" w:rsidRPr="0029378D">
        <w:rPr>
          <w:rFonts w:ascii="Arial" w:eastAsia="Arial" w:hAnsi="Arial" w:cs="Arial"/>
          <w:sz w:val="24"/>
          <w:szCs w:val="24"/>
        </w:rPr>
        <w:t xml:space="preserve"> and follow through with the decision(s) </w:t>
      </w:r>
      <w:r w:rsidR="003148A6" w:rsidRPr="00B62A31">
        <w:rPr>
          <w:rFonts w:ascii="Arial" w:eastAsia="Arial" w:hAnsi="Arial" w:cs="Arial"/>
          <w:color w:val="000000" w:themeColor="text1"/>
          <w:sz w:val="24"/>
          <w:szCs w:val="24"/>
        </w:rPr>
        <w:t>and consequences</w:t>
      </w:r>
    </w:p>
    <w:p w14:paraId="3D15522B" w14:textId="3E74EB9C" w:rsidR="00715394" w:rsidRPr="0029378D" w:rsidRDefault="00512D4E" w:rsidP="00F24D96">
      <w:pPr>
        <w:ind w:left="36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29378D">
        <w:rPr>
          <w:rFonts w:ascii="Arial" w:eastAsia="Arial" w:hAnsi="Arial" w:cs="Arial"/>
          <w:b/>
          <w:bCs/>
          <w:sz w:val="24"/>
          <w:szCs w:val="24"/>
          <w:u w:val="single"/>
        </w:rPr>
        <w:t>OR</w:t>
      </w:r>
      <w:r w:rsidR="00715394" w:rsidRPr="0029378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14:paraId="26D38B9E" w14:textId="44B8CAC3" w:rsidR="003148A6" w:rsidRPr="00B62A31" w:rsidRDefault="00F24D96" w:rsidP="003148A6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9378D">
        <w:rPr>
          <w:rFonts w:ascii="Arial" w:eastAsia="Arial" w:hAnsi="Arial" w:cs="Arial"/>
          <w:sz w:val="24"/>
          <w:szCs w:val="24"/>
        </w:rPr>
        <w:t>Appeal the</w:t>
      </w:r>
      <w:r w:rsidR="00C323F6" w:rsidRPr="0029378D">
        <w:rPr>
          <w:rFonts w:ascii="Arial" w:eastAsia="Arial" w:hAnsi="Arial" w:cs="Arial"/>
          <w:sz w:val="24"/>
          <w:szCs w:val="24"/>
        </w:rPr>
        <w:t xml:space="preserve"> finding</w:t>
      </w:r>
      <w:r w:rsidR="003148A6" w:rsidRPr="0029378D">
        <w:rPr>
          <w:rFonts w:ascii="Arial" w:eastAsia="Arial" w:hAnsi="Arial" w:cs="Arial"/>
          <w:sz w:val="24"/>
          <w:szCs w:val="24"/>
        </w:rPr>
        <w:t xml:space="preserve">. </w:t>
      </w:r>
      <w:r w:rsidR="003148A6" w:rsidRPr="00B62A31">
        <w:rPr>
          <w:rFonts w:ascii="Arial" w:eastAsia="Arial" w:hAnsi="Arial" w:cs="Arial"/>
          <w:color w:val="000000" w:themeColor="text1"/>
          <w:sz w:val="24"/>
          <w:szCs w:val="24"/>
        </w:rPr>
        <w:t>This means</w:t>
      </w:r>
      <w:r w:rsidR="00C323F6" w:rsidRPr="00B62A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148A6" w:rsidRPr="00B62A31">
        <w:rPr>
          <w:rFonts w:ascii="Arial" w:eastAsia="Arial" w:hAnsi="Arial" w:cs="Arial"/>
          <w:color w:val="000000" w:themeColor="text1"/>
          <w:sz w:val="24"/>
          <w:szCs w:val="24"/>
        </w:rPr>
        <w:t xml:space="preserve">you have the option to </w:t>
      </w:r>
      <w:r w:rsidR="00C323F6" w:rsidRPr="00B62A31">
        <w:rPr>
          <w:rFonts w:ascii="Arial" w:eastAsia="Arial" w:hAnsi="Arial" w:cs="Arial"/>
          <w:color w:val="000000" w:themeColor="text1"/>
          <w:sz w:val="24"/>
          <w:szCs w:val="24"/>
        </w:rPr>
        <w:t>appeal the remedy</w:t>
      </w:r>
      <w:r w:rsidR="003148A6" w:rsidRPr="00B62A31">
        <w:rPr>
          <w:rFonts w:ascii="Arial" w:eastAsia="Arial" w:hAnsi="Arial" w:cs="Arial"/>
          <w:color w:val="000000" w:themeColor="text1"/>
          <w:sz w:val="24"/>
          <w:szCs w:val="24"/>
        </w:rPr>
        <w:t>, the sanctions, or both.</w:t>
      </w:r>
    </w:p>
    <w:p w14:paraId="00477F19" w14:textId="1E439B5F" w:rsidR="003148A6" w:rsidRPr="00FB31E0" w:rsidRDefault="00FB31E0" w:rsidP="00FB31E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further information on appealing </w:t>
      </w:r>
      <w:r w:rsidR="006D4498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finding</w:t>
      </w:r>
      <w:r w:rsidR="006D4498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the </w:t>
      </w:r>
      <w:r w:rsidR="006D4498">
        <w:rPr>
          <w:rFonts w:ascii="Arial" w:eastAsia="Arial" w:hAnsi="Arial" w:cs="Arial"/>
          <w:sz w:val="24"/>
          <w:szCs w:val="24"/>
        </w:rPr>
        <w:t>sanctions</w:t>
      </w:r>
      <w:r>
        <w:rPr>
          <w:rFonts w:ascii="Arial" w:eastAsia="Arial" w:hAnsi="Arial" w:cs="Arial"/>
          <w:sz w:val="24"/>
          <w:szCs w:val="24"/>
        </w:rPr>
        <w:t xml:space="preserve">, or both, please consult the Academic Integrity Appeals </w:t>
      </w:r>
      <w:r w:rsidR="006D4498">
        <w:rPr>
          <w:rFonts w:ascii="Arial" w:eastAsia="Arial" w:hAnsi="Arial" w:cs="Arial"/>
          <w:sz w:val="24"/>
          <w:szCs w:val="24"/>
        </w:rPr>
        <w:t xml:space="preserve">Guide. </w:t>
      </w:r>
    </w:p>
    <w:p w14:paraId="171EA6B0" w14:textId="77777777" w:rsidR="00461F64" w:rsidRPr="0029378D" w:rsidRDefault="00461F64" w:rsidP="00461F64">
      <w:pPr>
        <w:ind w:left="360"/>
        <w:rPr>
          <w:rFonts w:ascii="Arial" w:eastAsia="Arial" w:hAnsi="Arial" w:cs="Arial"/>
          <w:sz w:val="24"/>
          <w:szCs w:val="24"/>
        </w:rPr>
      </w:pPr>
    </w:p>
    <w:p w14:paraId="3E437436" w14:textId="6D1961ED" w:rsidR="000F4C8B" w:rsidRPr="00773DEA" w:rsidRDefault="000F4C8B" w:rsidP="004175BF">
      <w:pPr>
        <w:rPr>
          <w:rFonts w:ascii="Arial" w:eastAsia="Arial" w:hAnsi="Arial" w:cs="Arial"/>
          <w:b/>
          <w:bCs/>
          <w:sz w:val="24"/>
          <w:szCs w:val="24"/>
        </w:rPr>
      </w:pPr>
      <w:r w:rsidRPr="00773DEA">
        <w:rPr>
          <w:rFonts w:ascii="Arial" w:eastAsia="Arial" w:hAnsi="Arial" w:cs="Arial"/>
          <w:b/>
          <w:bCs/>
          <w:sz w:val="24"/>
          <w:szCs w:val="24"/>
        </w:rPr>
        <w:t>Additional Resource</w:t>
      </w:r>
      <w:r w:rsidR="00061676">
        <w:rPr>
          <w:rFonts w:ascii="Arial" w:eastAsia="Arial" w:hAnsi="Arial" w:cs="Arial"/>
          <w:b/>
          <w:bCs/>
          <w:sz w:val="24"/>
          <w:szCs w:val="24"/>
        </w:rPr>
        <w:t>s</w:t>
      </w:r>
      <w:r w:rsidR="00E376D5" w:rsidRPr="00773DEA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1FFD350" w14:textId="77777777" w:rsidR="002E5B42" w:rsidRPr="004175BF" w:rsidRDefault="002E5B42" w:rsidP="002E5B42">
      <w:pPr>
        <w:rPr>
          <w:rFonts w:ascii="Arial" w:eastAsia="Arial" w:hAnsi="Arial" w:cs="Arial"/>
          <w:sz w:val="24"/>
          <w:szCs w:val="24"/>
        </w:rPr>
      </w:pPr>
      <w:r w:rsidRPr="0029378D">
        <w:rPr>
          <w:rFonts w:ascii="Arial" w:eastAsia="Arial" w:hAnsi="Arial" w:cs="Arial"/>
          <w:sz w:val="24"/>
          <w:szCs w:val="24"/>
        </w:rPr>
        <w:t xml:space="preserve">Office of the University Ombudsperson Academic Integrity page: </w:t>
      </w:r>
      <w:hyperlink r:id="rId10" w:history="1">
        <w:r w:rsidRPr="0029378D">
          <w:rPr>
            <w:rStyle w:val="Hyperlink"/>
            <w:rFonts w:ascii="Arial" w:eastAsia="Arial" w:hAnsi="Arial" w:cs="Arial"/>
            <w:sz w:val="24"/>
            <w:szCs w:val="24"/>
          </w:rPr>
          <w:t>https://www.queensu.ca/ombuds/academic-integrity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89FD6D1" w14:textId="77777777" w:rsidR="00E376D5" w:rsidRDefault="00E376D5" w:rsidP="004175BF">
      <w:pPr>
        <w:rPr>
          <w:rFonts w:ascii="Arial" w:eastAsia="Arial" w:hAnsi="Arial" w:cs="Arial"/>
          <w:sz w:val="24"/>
          <w:szCs w:val="24"/>
        </w:rPr>
      </w:pPr>
    </w:p>
    <w:p w14:paraId="253FB1AD" w14:textId="1F0148BD" w:rsidR="00091B31" w:rsidRPr="008059EF" w:rsidRDefault="001F78FA" w:rsidP="008059EF">
      <w:pPr>
        <w:rPr>
          <w:rFonts w:ascii="Arial" w:eastAsia="Arial" w:hAnsi="Arial" w:cs="Arial"/>
          <w:sz w:val="24"/>
          <w:szCs w:val="24"/>
        </w:rPr>
      </w:pPr>
      <w:r w:rsidRPr="008059EF">
        <w:rPr>
          <w:rFonts w:ascii="Arial" w:eastAsia="Arial" w:hAnsi="Arial" w:cs="Arial"/>
          <w:sz w:val="24"/>
          <w:szCs w:val="24"/>
        </w:rPr>
        <w:t xml:space="preserve"> </w:t>
      </w:r>
    </w:p>
    <w:p w14:paraId="09C98139" w14:textId="126F1065" w:rsidR="00091B31" w:rsidRPr="00E0359A" w:rsidRDefault="00091B31" w:rsidP="7F5C240B">
      <w:pPr>
        <w:rPr>
          <w:rFonts w:ascii="Arial" w:eastAsia="Arial" w:hAnsi="Arial" w:cs="Arial"/>
          <w:sz w:val="24"/>
          <w:szCs w:val="24"/>
        </w:rPr>
      </w:pPr>
    </w:p>
    <w:p w14:paraId="49D4BE5E" w14:textId="77777777" w:rsidR="00091B31" w:rsidRPr="00E0359A" w:rsidRDefault="00091B31" w:rsidP="7F5C240B">
      <w:pPr>
        <w:rPr>
          <w:rFonts w:ascii="Arial" w:eastAsia="Arial" w:hAnsi="Arial" w:cs="Arial"/>
          <w:sz w:val="24"/>
          <w:szCs w:val="24"/>
        </w:rPr>
      </w:pPr>
    </w:p>
    <w:p w14:paraId="7FFE41EE" w14:textId="77777777" w:rsidR="00A86181" w:rsidRPr="00E0359A" w:rsidRDefault="00A86181" w:rsidP="7F5C240B">
      <w:pPr>
        <w:rPr>
          <w:rFonts w:ascii="Arial" w:eastAsia="Arial" w:hAnsi="Arial" w:cs="Arial"/>
          <w:sz w:val="24"/>
          <w:szCs w:val="24"/>
        </w:rPr>
      </w:pPr>
    </w:p>
    <w:p w14:paraId="43E108C1" w14:textId="4CD9E713" w:rsidR="7F5C240B" w:rsidRDefault="7F5C240B" w:rsidP="7F5C240B">
      <w:pPr>
        <w:rPr>
          <w:rFonts w:ascii="Arial" w:eastAsia="Arial" w:hAnsi="Arial" w:cs="Arial"/>
          <w:sz w:val="24"/>
          <w:szCs w:val="24"/>
        </w:rPr>
      </w:pPr>
    </w:p>
    <w:sectPr w:rsidR="7F5C240B" w:rsidSect="00E376D5">
      <w:headerReference w:type="default" r:id="rId11"/>
      <w:footerReference w:type="defaul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3664" w14:textId="77777777" w:rsidR="00D5319D" w:rsidRDefault="00D5319D" w:rsidP="00422098">
      <w:pPr>
        <w:spacing w:after="0" w:line="240" w:lineRule="auto"/>
      </w:pPr>
      <w:r>
        <w:separator/>
      </w:r>
    </w:p>
  </w:endnote>
  <w:endnote w:type="continuationSeparator" w:id="0">
    <w:p w14:paraId="4B335A0D" w14:textId="77777777" w:rsidR="00D5319D" w:rsidRDefault="00D5319D" w:rsidP="00422098">
      <w:pPr>
        <w:spacing w:after="0" w:line="240" w:lineRule="auto"/>
      </w:pPr>
      <w:r>
        <w:continuationSeparator/>
      </w:r>
    </w:p>
  </w:endnote>
  <w:endnote w:type="continuationNotice" w:id="1">
    <w:p w14:paraId="3A85E365" w14:textId="77777777" w:rsidR="00D5319D" w:rsidRDefault="00D531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53116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A66D1" w14:textId="08B259ED" w:rsidR="00F251C7" w:rsidRPr="00F251C7" w:rsidRDefault="00F251C7">
        <w:pPr>
          <w:pStyle w:val="Footer"/>
          <w:jc w:val="right"/>
          <w:rPr>
            <w:rFonts w:ascii="Arial" w:hAnsi="Arial" w:cs="Arial"/>
          </w:rPr>
        </w:pPr>
        <w:r w:rsidRPr="00F251C7">
          <w:rPr>
            <w:rFonts w:ascii="Arial" w:hAnsi="Arial" w:cs="Arial"/>
          </w:rPr>
          <w:fldChar w:fldCharType="begin"/>
        </w:r>
        <w:r w:rsidRPr="00F251C7">
          <w:rPr>
            <w:rFonts w:ascii="Arial" w:hAnsi="Arial" w:cs="Arial"/>
          </w:rPr>
          <w:instrText xml:space="preserve"> PAGE   \* MERGEFORMAT </w:instrText>
        </w:r>
        <w:r w:rsidRPr="00F251C7">
          <w:rPr>
            <w:rFonts w:ascii="Arial" w:hAnsi="Arial" w:cs="Arial"/>
          </w:rPr>
          <w:fldChar w:fldCharType="separate"/>
        </w:r>
        <w:r w:rsidRPr="00F251C7">
          <w:rPr>
            <w:rFonts w:ascii="Arial" w:hAnsi="Arial" w:cs="Arial"/>
            <w:noProof/>
          </w:rPr>
          <w:t>2</w:t>
        </w:r>
        <w:r w:rsidRPr="00F251C7">
          <w:rPr>
            <w:rFonts w:ascii="Arial" w:hAnsi="Arial" w:cs="Arial"/>
            <w:noProof/>
          </w:rPr>
          <w:fldChar w:fldCharType="end"/>
        </w:r>
      </w:p>
    </w:sdtContent>
  </w:sdt>
  <w:p w14:paraId="1ECD53E3" w14:textId="77777777" w:rsidR="00F251C7" w:rsidRDefault="00F25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7F72" w14:textId="77777777" w:rsidR="00D5319D" w:rsidRDefault="00D5319D" w:rsidP="00422098">
      <w:pPr>
        <w:spacing w:after="0" w:line="240" w:lineRule="auto"/>
      </w:pPr>
      <w:r>
        <w:separator/>
      </w:r>
    </w:p>
  </w:footnote>
  <w:footnote w:type="continuationSeparator" w:id="0">
    <w:p w14:paraId="338ED2E0" w14:textId="77777777" w:rsidR="00D5319D" w:rsidRDefault="00D5319D" w:rsidP="00422098">
      <w:pPr>
        <w:spacing w:after="0" w:line="240" w:lineRule="auto"/>
      </w:pPr>
      <w:r>
        <w:continuationSeparator/>
      </w:r>
    </w:p>
  </w:footnote>
  <w:footnote w:type="continuationNotice" w:id="1">
    <w:p w14:paraId="797C6B17" w14:textId="77777777" w:rsidR="00D5319D" w:rsidRDefault="00D531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5CAC" w14:textId="675AA85E" w:rsidR="00422098" w:rsidRDefault="002F0F0A">
    <w:pPr>
      <w:pStyle w:val="Header"/>
    </w:pPr>
    <w:r w:rsidRPr="002F0F0A">
      <w:rPr>
        <w:rFonts w:ascii="Calibri" w:eastAsia="Calibri" w:hAnsi="Calibri" w:cs="Times New Roman"/>
        <w:noProof/>
        <w:sz w:val="24"/>
        <w:szCs w:val="24"/>
        <w:lang w:val="en-CA"/>
      </w:rPr>
      <w:drawing>
        <wp:anchor distT="0" distB="0" distL="114300" distR="114300" simplePos="0" relativeHeight="251658240" behindDoc="1" locked="0" layoutInCell="1" allowOverlap="1" wp14:anchorId="1BFA1C55" wp14:editId="742FE0E7">
          <wp:simplePos x="0" y="0"/>
          <wp:positionH relativeFrom="page">
            <wp:posOffset>45720</wp:posOffset>
          </wp:positionH>
          <wp:positionV relativeFrom="page">
            <wp:posOffset>38100</wp:posOffset>
          </wp:positionV>
          <wp:extent cx="7772400" cy="1828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88F"/>
    <w:multiLevelType w:val="hybridMultilevel"/>
    <w:tmpl w:val="3056CBE6"/>
    <w:lvl w:ilvl="0" w:tplc="E2DA4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276A"/>
    <w:multiLevelType w:val="hybridMultilevel"/>
    <w:tmpl w:val="074C551A"/>
    <w:lvl w:ilvl="0" w:tplc="FADA2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4560"/>
    <w:multiLevelType w:val="hybridMultilevel"/>
    <w:tmpl w:val="0818EEB4"/>
    <w:lvl w:ilvl="0" w:tplc="900EF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2E45"/>
    <w:multiLevelType w:val="hybridMultilevel"/>
    <w:tmpl w:val="0598E73E"/>
    <w:lvl w:ilvl="0" w:tplc="DD1C1FD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24EE"/>
    <w:multiLevelType w:val="hybridMultilevel"/>
    <w:tmpl w:val="092E7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58F6"/>
    <w:multiLevelType w:val="hybridMultilevel"/>
    <w:tmpl w:val="960CBE68"/>
    <w:lvl w:ilvl="0" w:tplc="0CFEA7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76F"/>
    <w:multiLevelType w:val="hybridMultilevel"/>
    <w:tmpl w:val="E5F0D8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81D8B"/>
    <w:multiLevelType w:val="hybridMultilevel"/>
    <w:tmpl w:val="4554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0430B"/>
    <w:multiLevelType w:val="hybridMultilevel"/>
    <w:tmpl w:val="19B6D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15E39"/>
    <w:multiLevelType w:val="hybridMultilevel"/>
    <w:tmpl w:val="B5B20944"/>
    <w:lvl w:ilvl="0" w:tplc="1B8AF8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44EBC"/>
    <w:multiLevelType w:val="hybridMultilevel"/>
    <w:tmpl w:val="F3000518"/>
    <w:lvl w:ilvl="0" w:tplc="1D3613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63F7B"/>
    <w:multiLevelType w:val="hybridMultilevel"/>
    <w:tmpl w:val="50D0CEFC"/>
    <w:lvl w:ilvl="0" w:tplc="DC9AB3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35398"/>
    <w:multiLevelType w:val="hybridMultilevel"/>
    <w:tmpl w:val="152A5B7A"/>
    <w:lvl w:ilvl="0" w:tplc="CA42E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NDI1s7AwNDM3sTRU0lEKTi0uzszPAykwrwUAXZnPkywAAAA="/>
  </w:docVars>
  <w:rsids>
    <w:rsidRoot w:val="3D8990D6"/>
    <w:rsid w:val="00010985"/>
    <w:rsid w:val="0001676B"/>
    <w:rsid w:val="00022E8D"/>
    <w:rsid w:val="000467EB"/>
    <w:rsid w:val="00061676"/>
    <w:rsid w:val="0006252B"/>
    <w:rsid w:val="0006622D"/>
    <w:rsid w:val="00091B31"/>
    <w:rsid w:val="000A39CE"/>
    <w:rsid w:val="000B6490"/>
    <w:rsid w:val="000D2CCF"/>
    <w:rsid w:val="000F336D"/>
    <w:rsid w:val="000F4C8B"/>
    <w:rsid w:val="00104212"/>
    <w:rsid w:val="00107945"/>
    <w:rsid w:val="00107C87"/>
    <w:rsid w:val="00113FA1"/>
    <w:rsid w:val="00146B69"/>
    <w:rsid w:val="0016218D"/>
    <w:rsid w:val="00181545"/>
    <w:rsid w:val="001864E7"/>
    <w:rsid w:val="00190A20"/>
    <w:rsid w:val="001975BB"/>
    <w:rsid w:val="001A1D74"/>
    <w:rsid w:val="001F726F"/>
    <w:rsid w:val="001F78FA"/>
    <w:rsid w:val="002124D5"/>
    <w:rsid w:val="00247BE6"/>
    <w:rsid w:val="002935CB"/>
    <w:rsid w:val="0029378D"/>
    <w:rsid w:val="002B2EA0"/>
    <w:rsid w:val="002C376B"/>
    <w:rsid w:val="002E5B42"/>
    <w:rsid w:val="002F0F0A"/>
    <w:rsid w:val="002F2847"/>
    <w:rsid w:val="00300EF1"/>
    <w:rsid w:val="0030645B"/>
    <w:rsid w:val="00311879"/>
    <w:rsid w:val="003148A6"/>
    <w:rsid w:val="003219C9"/>
    <w:rsid w:val="00387B82"/>
    <w:rsid w:val="003C6AD9"/>
    <w:rsid w:val="003F59E5"/>
    <w:rsid w:val="003F61D7"/>
    <w:rsid w:val="004175BF"/>
    <w:rsid w:val="00422098"/>
    <w:rsid w:val="004339D5"/>
    <w:rsid w:val="00461F64"/>
    <w:rsid w:val="00466114"/>
    <w:rsid w:val="004803B3"/>
    <w:rsid w:val="00494586"/>
    <w:rsid w:val="004A6D8B"/>
    <w:rsid w:val="00505D30"/>
    <w:rsid w:val="0050788B"/>
    <w:rsid w:val="00512D4E"/>
    <w:rsid w:val="00584762"/>
    <w:rsid w:val="00593FEC"/>
    <w:rsid w:val="005A1908"/>
    <w:rsid w:val="005B2CBB"/>
    <w:rsid w:val="005D05E2"/>
    <w:rsid w:val="005E487F"/>
    <w:rsid w:val="005F14D4"/>
    <w:rsid w:val="00617673"/>
    <w:rsid w:val="006275F6"/>
    <w:rsid w:val="00655CF2"/>
    <w:rsid w:val="00672AE9"/>
    <w:rsid w:val="006765CE"/>
    <w:rsid w:val="00684C38"/>
    <w:rsid w:val="00692054"/>
    <w:rsid w:val="00695247"/>
    <w:rsid w:val="006A4935"/>
    <w:rsid w:val="006D0C2A"/>
    <w:rsid w:val="006D4498"/>
    <w:rsid w:val="00710C01"/>
    <w:rsid w:val="00710DD6"/>
    <w:rsid w:val="00715394"/>
    <w:rsid w:val="00724216"/>
    <w:rsid w:val="0072457E"/>
    <w:rsid w:val="00740E71"/>
    <w:rsid w:val="00741F63"/>
    <w:rsid w:val="00773DEA"/>
    <w:rsid w:val="007960D9"/>
    <w:rsid w:val="007A55CA"/>
    <w:rsid w:val="007D0BC7"/>
    <w:rsid w:val="008059EF"/>
    <w:rsid w:val="008145FB"/>
    <w:rsid w:val="0081498F"/>
    <w:rsid w:val="00824CDD"/>
    <w:rsid w:val="00826667"/>
    <w:rsid w:val="00832920"/>
    <w:rsid w:val="00836FAB"/>
    <w:rsid w:val="00860026"/>
    <w:rsid w:val="00876734"/>
    <w:rsid w:val="00886FEB"/>
    <w:rsid w:val="00895600"/>
    <w:rsid w:val="008A08BE"/>
    <w:rsid w:val="008A364E"/>
    <w:rsid w:val="008A5165"/>
    <w:rsid w:val="008B36B5"/>
    <w:rsid w:val="008B6BE1"/>
    <w:rsid w:val="008B7644"/>
    <w:rsid w:val="008C5EBE"/>
    <w:rsid w:val="008D44F7"/>
    <w:rsid w:val="008E0137"/>
    <w:rsid w:val="008F3B9E"/>
    <w:rsid w:val="00902E6D"/>
    <w:rsid w:val="009464EA"/>
    <w:rsid w:val="00951881"/>
    <w:rsid w:val="00970B29"/>
    <w:rsid w:val="00976E47"/>
    <w:rsid w:val="00981B8B"/>
    <w:rsid w:val="009B3744"/>
    <w:rsid w:val="009B4B91"/>
    <w:rsid w:val="009B5A2B"/>
    <w:rsid w:val="009D3A83"/>
    <w:rsid w:val="009F49BD"/>
    <w:rsid w:val="009F66C3"/>
    <w:rsid w:val="00A17D4B"/>
    <w:rsid w:val="00A24669"/>
    <w:rsid w:val="00A3131B"/>
    <w:rsid w:val="00A41487"/>
    <w:rsid w:val="00A55B45"/>
    <w:rsid w:val="00A632E5"/>
    <w:rsid w:val="00A86181"/>
    <w:rsid w:val="00A87A20"/>
    <w:rsid w:val="00AA2825"/>
    <w:rsid w:val="00AA49CD"/>
    <w:rsid w:val="00AA744B"/>
    <w:rsid w:val="00AB04FF"/>
    <w:rsid w:val="00AC04BB"/>
    <w:rsid w:val="00AD428B"/>
    <w:rsid w:val="00B06139"/>
    <w:rsid w:val="00B14866"/>
    <w:rsid w:val="00B163F8"/>
    <w:rsid w:val="00B23F96"/>
    <w:rsid w:val="00B62A31"/>
    <w:rsid w:val="00B93D57"/>
    <w:rsid w:val="00BA1E71"/>
    <w:rsid w:val="00BA2AC9"/>
    <w:rsid w:val="00BA64B7"/>
    <w:rsid w:val="00BE7E91"/>
    <w:rsid w:val="00C323F6"/>
    <w:rsid w:val="00C440F3"/>
    <w:rsid w:val="00C45BD7"/>
    <w:rsid w:val="00C53DDF"/>
    <w:rsid w:val="00C96ACA"/>
    <w:rsid w:val="00C97029"/>
    <w:rsid w:val="00CB4F57"/>
    <w:rsid w:val="00CD559F"/>
    <w:rsid w:val="00CE5536"/>
    <w:rsid w:val="00D13B10"/>
    <w:rsid w:val="00D21E8A"/>
    <w:rsid w:val="00D22E2F"/>
    <w:rsid w:val="00D242A9"/>
    <w:rsid w:val="00D25A1F"/>
    <w:rsid w:val="00D308A9"/>
    <w:rsid w:val="00D3501F"/>
    <w:rsid w:val="00D5319D"/>
    <w:rsid w:val="00D5378D"/>
    <w:rsid w:val="00D83656"/>
    <w:rsid w:val="00D85248"/>
    <w:rsid w:val="00D90D6B"/>
    <w:rsid w:val="00DB312D"/>
    <w:rsid w:val="00DF773A"/>
    <w:rsid w:val="00E02E27"/>
    <w:rsid w:val="00E0359A"/>
    <w:rsid w:val="00E158CB"/>
    <w:rsid w:val="00E21AE7"/>
    <w:rsid w:val="00E27A92"/>
    <w:rsid w:val="00E376D5"/>
    <w:rsid w:val="00E50B2A"/>
    <w:rsid w:val="00E63E6A"/>
    <w:rsid w:val="00E7667A"/>
    <w:rsid w:val="00E873E7"/>
    <w:rsid w:val="00E932D9"/>
    <w:rsid w:val="00EB61A4"/>
    <w:rsid w:val="00EB61B3"/>
    <w:rsid w:val="00EC35F1"/>
    <w:rsid w:val="00EC595E"/>
    <w:rsid w:val="00EE5129"/>
    <w:rsid w:val="00F05CA0"/>
    <w:rsid w:val="00F24D96"/>
    <w:rsid w:val="00F251C7"/>
    <w:rsid w:val="00F2654A"/>
    <w:rsid w:val="00F626E7"/>
    <w:rsid w:val="00F67F77"/>
    <w:rsid w:val="00F8414E"/>
    <w:rsid w:val="00FA5FCB"/>
    <w:rsid w:val="00FB31E0"/>
    <w:rsid w:val="00FE0A86"/>
    <w:rsid w:val="00FF6492"/>
    <w:rsid w:val="2364064B"/>
    <w:rsid w:val="3D8990D6"/>
    <w:rsid w:val="44CE21FD"/>
    <w:rsid w:val="7F5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90D6"/>
  <w15:chartTrackingRefBased/>
  <w15:docId w15:val="{C58F6484-65EC-4629-AF32-8008792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098"/>
  </w:style>
  <w:style w:type="paragraph" w:styleId="Footer">
    <w:name w:val="footer"/>
    <w:basedOn w:val="Normal"/>
    <w:link w:val="FooterChar"/>
    <w:uiPriority w:val="99"/>
    <w:unhideWhenUsed/>
    <w:rsid w:val="0042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098"/>
  </w:style>
  <w:style w:type="character" w:styleId="Hyperlink">
    <w:name w:val="Hyperlink"/>
    <w:basedOn w:val="DefaultParagraphFont"/>
    <w:uiPriority w:val="99"/>
    <w:unhideWhenUsed/>
    <w:rsid w:val="002E5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queensu.ca/ombuds/academic-integr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0404FF720084C9C845519105EB60A" ma:contentTypeVersion="12" ma:contentTypeDescription="Create a new document." ma:contentTypeScope="" ma:versionID="3bed3f49b7706802389043232afd7729">
  <xsd:schema xmlns:xsd="http://www.w3.org/2001/XMLSchema" xmlns:xs="http://www.w3.org/2001/XMLSchema" xmlns:p="http://schemas.microsoft.com/office/2006/metadata/properties" xmlns:ns2="963b8815-1d01-4b82-8679-3162eac29eeb" xmlns:ns3="96b31449-b2ca-4f66-8f3e-4ac0c1f63ce4" targetNamespace="http://schemas.microsoft.com/office/2006/metadata/properties" ma:root="true" ma:fieldsID="692ca64d6253a945f8bc5067ba9292e3" ns2:_="" ns3:_="">
    <xsd:import namespace="963b8815-1d01-4b82-8679-3162eac29eeb"/>
    <xsd:import namespace="96b31449-b2ca-4f66-8f3e-4ac0c1f63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8815-1d01-4b82-8679-3162eac2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1449-b2ca-4f66-8f3e-4ac0c1f63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7C760-F472-4A81-B1BD-B6576B631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33E86-7B50-41D2-A199-C5A1EACF6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b8815-1d01-4b82-8679-3162eac29eeb"/>
    <ds:schemaRef ds:uri="96b31449-b2ca-4f66-8f3e-4ac0c1f63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50239-AA7E-4464-810F-9C251DC767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Rahimian</dc:creator>
  <cp:keywords/>
  <dc:description/>
  <cp:lastModifiedBy>Matt Rahimian</cp:lastModifiedBy>
  <cp:revision>49</cp:revision>
  <dcterms:created xsi:type="dcterms:W3CDTF">2021-11-06T05:14:00Z</dcterms:created>
  <dcterms:modified xsi:type="dcterms:W3CDTF">2021-12-01T19:38:00Z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0x0101000F50404FF720084C9C845519105EB60A</vt:lpwstr>
  </property>
</Properties>
</file>