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C03" w:rsidRDefault="002C7C03" w:rsidP="003D393E">
      <w:pPr>
        <w:spacing w:before="720" w:after="960"/>
        <w:jc w:val="center"/>
        <w:rPr>
          <w:rFonts w:cstheme="minorHAnsi"/>
          <w:sz w:val="72"/>
          <w:szCs w:val="72"/>
        </w:rPr>
      </w:pPr>
    </w:p>
    <w:p w:rsidR="000D5874" w:rsidRDefault="00C90ABF" w:rsidP="000D5874">
      <w:pPr>
        <w:spacing w:after="600" w:line="240" w:lineRule="auto"/>
        <w:jc w:val="center"/>
        <w:rPr>
          <w:rFonts w:cstheme="minorHAnsi"/>
          <w:sz w:val="96"/>
          <w:szCs w:val="96"/>
        </w:rPr>
      </w:pPr>
      <w:r>
        <w:rPr>
          <w:rFonts w:cstheme="minorHAnsi"/>
          <w:sz w:val="96"/>
          <w:szCs w:val="96"/>
        </w:rPr>
        <w:t xml:space="preserve">Queen’s </w:t>
      </w:r>
      <w:r w:rsidR="000D5874">
        <w:rPr>
          <w:rFonts w:cstheme="minorHAnsi"/>
          <w:sz w:val="96"/>
          <w:szCs w:val="96"/>
        </w:rPr>
        <w:t>University</w:t>
      </w:r>
    </w:p>
    <w:p w:rsidR="00541E29" w:rsidRPr="00C90ABF" w:rsidRDefault="00C90ABF" w:rsidP="000D5874">
      <w:pPr>
        <w:spacing w:after="600" w:line="240" w:lineRule="auto"/>
        <w:jc w:val="center"/>
        <w:rPr>
          <w:rFonts w:cstheme="minorHAnsi"/>
          <w:sz w:val="96"/>
          <w:szCs w:val="96"/>
        </w:rPr>
      </w:pPr>
      <w:r>
        <w:rPr>
          <w:rFonts w:cstheme="minorHAnsi"/>
          <w:sz w:val="96"/>
          <w:szCs w:val="96"/>
        </w:rPr>
        <w:t>Accessibility Plan</w:t>
      </w:r>
    </w:p>
    <w:p w:rsidR="003A31DF" w:rsidRPr="009F0E4B" w:rsidRDefault="00F606F6" w:rsidP="003D393E">
      <w:pPr>
        <w:spacing w:after="4080"/>
        <w:jc w:val="center"/>
        <w:rPr>
          <w:rFonts w:cstheme="minorHAnsi"/>
          <w:sz w:val="68"/>
          <w:szCs w:val="68"/>
        </w:rPr>
      </w:pPr>
      <w:r>
        <w:rPr>
          <w:rFonts w:cstheme="minorHAnsi"/>
          <w:sz w:val="68"/>
          <w:szCs w:val="68"/>
        </w:rPr>
        <w:t>2016</w:t>
      </w:r>
      <w:r w:rsidR="00276C38">
        <w:rPr>
          <w:rFonts w:cstheme="minorHAnsi"/>
          <w:sz w:val="68"/>
          <w:szCs w:val="68"/>
        </w:rPr>
        <w:t xml:space="preserve"> - 2025</w:t>
      </w:r>
    </w:p>
    <w:p w:rsidR="00C90ABF" w:rsidRDefault="00430172" w:rsidP="008C7412">
      <w:pPr>
        <w:ind w:left="1440" w:right="1440"/>
        <w:jc w:val="center"/>
        <w:rPr>
          <w:rStyle w:val="Hyperlink"/>
          <w:rFonts w:cstheme="minorHAnsi"/>
          <w:sz w:val="28"/>
          <w:szCs w:val="28"/>
        </w:rPr>
        <w:sectPr w:rsidR="00C90ABF" w:rsidSect="004846B9">
          <w:footerReference w:type="default" r:id="rId8"/>
          <w:headerReference w:type="first" r:id="rId9"/>
          <w:pgSz w:w="12240" w:h="15840"/>
          <w:pgMar w:top="1440" w:right="49" w:bottom="1440" w:left="0" w:header="283" w:footer="708" w:gutter="0"/>
          <w:pgNumType w:start="1"/>
          <w:cols w:space="708"/>
          <w:titlePg/>
          <w:docGrid w:linePitch="360"/>
        </w:sectPr>
      </w:pPr>
      <w:r w:rsidRPr="009F0E4B">
        <w:rPr>
          <w:rFonts w:cstheme="minorHAnsi"/>
          <w:sz w:val="28"/>
          <w:szCs w:val="28"/>
        </w:rPr>
        <w:t xml:space="preserve">This document is available in alternate formats, upon request. Please contact us at 613-533-2563 or by email at </w:t>
      </w:r>
      <w:hyperlink r:id="rId10" w:history="1">
        <w:r w:rsidR="00162B72" w:rsidRPr="009F0E4B">
          <w:rPr>
            <w:rStyle w:val="Hyperlink"/>
            <w:rFonts w:cstheme="minorHAnsi"/>
            <w:sz w:val="28"/>
            <w:szCs w:val="28"/>
          </w:rPr>
          <w:t>equity@queensu.ca</w:t>
        </w:r>
      </w:hyperlink>
    </w:p>
    <w:p w:rsidR="00090B8A" w:rsidRPr="009F0E4B" w:rsidRDefault="00090B8A" w:rsidP="00090B8A">
      <w:pPr>
        <w:spacing w:before="100" w:beforeAutospacing="1" w:after="100" w:afterAutospacing="1" w:line="240" w:lineRule="auto"/>
        <w:rPr>
          <w:rFonts w:eastAsia="Times New Roman" w:cstheme="minorHAnsi"/>
          <w:szCs w:val="24"/>
        </w:rPr>
      </w:pPr>
      <w:r w:rsidRPr="009F0E4B">
        <w:rPr>
          <w:rFonts w:eastAsia="Times New Roman" w:cstheme="minorHAnsi"/>
          <w:b/>
          <w:szCs w:val="24"/>
        </w:rPr>
        <w:lastRenderedPageBreak/>
        <w:t>Public Communication of the Accessibility Plan</w:t>
      </w:r>
      <w:r w:rsidR="0055348A" w:rsidRPr="009F0E4B">
        <w:rPr>
          <w:rFonts w:eastAsia="Times New Roman" w:cstheme="minorHAnsi"/>
          <w:b/>
          <w:szCs w:val="24"/>
        </w:rPr>
        <w:t>s</w:t>
      </w:r>
    </w:p>
    <w:p w:rsidR="00090B8A" w:rsidRPr="009F0E4B" w:rsidRDefault="00090B8A" w:rsidP="00090B8A">
      <w:pPr>
        <w:spacing w:before="100" w:beforeAutospacing="1" w:after="100" w:afterAutospacing="1" w:line="240" w:lineRule="auto"/>
        <w:rPr>
          <w:rFonts w:eastAsia="Times New Roman" w:cstheme="minorHAnsi"/>
          <w:szCs w:val="24"/>
        </w:rPr>
      </w:pPr>
      <w:r w:rsidRPr="009F0E4B">
        <w:rPr>
          <w:rFonts w:eastAsia="Times New Roman" w:cstheme="minorHAnsi"/>
          <w:szCs w:val="24"/>
        </w:rPr>
        <w:t>Queen’s current and past Accessibility Plans are available:</w:t>
      </w:r>
    </w:p>
    <w:p w:rsidR="00090B8A" w:rsidRPr="006C1BE3" w:rsidRDefault="00090B8A" w:rsidP="003D622D">
      <w:pPr>
        <w:pStyle w:val="ListParagraph"/>
        <w:numPr>
          <w:ilvl w:val="0"/>
          <w:numId w:val="2"/>
        </w:numPr>
        <w:spacing w:before="100" w:beforeAutospacing="1" w:after="100" w:afterAutospacing="1"/>
        <w:rPr>
          <w:rFonts w:eastAsia="Times New Roman" w:cstheme="minorHAnsi"/>
          <w:szCs w:val="24"/>
        </w:rPr>
      </w:pPr>
      <w:r w:rsidRPr="009F0E4B">
        <w:rPr>
          <w:rFonts w:eastAsia="Times New Roman" w:cstheme="minorHAnsi"/>
          <w:szCs w:val="24"/>
        </w:rPr>
        <w:t xml:space="preserve">Online at the Equity Office website at:  </w:t>
      </w:r>
      <w:hyperlink r:id="rId11" w:history="1">
        <w:r w:rsidR="00D960A4" w:rsidRPr="00D960A4">
          <w:rPr>
            <w:rStyle w:val="Hyperlink"/>
          </w:rPr>
          <w:t>Reports and Plans</w:t>
        </w:r>
      </w:hyperlink>
    </w:p>
    <w:p w:rsidR="00090B8A" w:rsidRPr="009F0E4B" w:rsidRDefault="00090B8A" w:rsidP="003D622D">
      <w:pPr>
        <w:pStyle w:val="ListParagraph"/>
        <w:numPr>
          <w:ilvl w:val="0"/>
          <w:numId w:val="2"/>
        </w:numPr>
        <w:spacing w:before="100" w:beforeAutospacing="1" w:after="100" w:afterAutospacing="1"/>
        <w:rPr>
          <w:rFonts w:eastAsia="Times New Roman" w:cstheme="minorHAnsi"/>
          <w:szCs w:val="24"/>
        </w:rPr>
      </w:pPr>
      <w:r w:rsidRPr="009F0E4B">
        <w:rPr>
          <w:rFonts w:eastAsia="Times New Roman" w:cstheme="minorHAnsi"/>
          <w:szCs w:val="24"/>
        </w:rPr>
        <w:t>On written request to the Equity Office, Queen’s University, Mackintosh-Corry Hall, Room B513, Kingston, ON, K7L 3N6</w:t>
      </w:r>
    </w:p>
    <w:p w:rsidR="00090B8A" w:rsidRPr="009F0E4B" w:rsidRDefault="00090B8A" w:rsidP="003D622D">
      <w:pPr>
        <w:pStyle w:val="ListParagraph"/>
        <w:numPr>
          <w:ilvl w:val="0"/>
          <w:numId w:val="2"/>
        </w:numPr>
        <w:spacing w:before="100" w:beforeAutospacing="1" w:after="100" w:afterAutospacing="1"/>
        <w:rPr>
          <w:rFonts w:eastAsia="Times New Roman" w:cstheme="minorHAnsi"/>
          <w:szCs w:val="24"/>
        </w:rPr>
      </w:pPr>
      <w:r w:rsidRPr="009F0E4B">
        <w:rPr>
          <w:rFonts w:eastAsia="Times New Roman" w:cstheme="minorHAnsi"/>
          <w:szCs w:val="24"/>
        </w:rPr>
        <w:t>By telephoning the Equity Office at (613)533-2563</w:t>
      </w:r>
    </w:p>
    <w:p w:rsidR="00090B8A" w:rsidRPr="009F0E4B" w:rsidRDefault="00090B8A" w:rsidP="003D622D">
      <w:pPr>
        <w:pStyle w:val="ListParagraph"/>
        <w:numPr>
          <w:ilvl w:val="0"/>
          <w:numId w:val="2"/>
        </w:numPr>
        <w:spacing w:before="100" w:beforeAutospacing="1" w:after="100" w:afterAutospacing="1"/>
        <w:rPr>
          <w:rFonts w:eastAsia="Times New Roman" w:cstheme="minorHAnsi"/>
          <w:szCs w:val="24"/>
        </w:rPr>
      </w:pPr>
      <w:r w:rsidRPr="009F0E4B">
        <w:rPr>
          <w:rFonts w:eastAsia="Times New Roman" w:cstheme="minorHAnsi"/>
          <w:szCs w:val="24"/>
        </w:rPr>
        <w:t xml:space="preserve">By email at </w:t>
      </w:r>
      <w:hyperlink r:id="rId12" w:history="1">
        <w:r w:rsidRPr="009F0E4B">
          <w:rPr>
            <w:rStyle w:val="Hyperlink"/>
            <w:rFonts w:eastAsia="Times New Roman" w:cstheme="minorHAnsi"/>
            <w:szCs w:val="24"/>
          </w:rPr>
          <w:t>equity@queensu.ca</w:t>
        </w:r>
      </w:hyperlink>
    </w:p>
    <w:p w:rsidR="00090B8A" w:rsidRPr="009F0E4B" w:rsidRDefault="00090B8A" w:rsidP="003D622D">
      <w:pPr>
        <w:pStyle w:val="ListParagraph"/>
        <w:numPr>
          <w:ilvl w:val="0"/>
          <w:numId w:val="2"/>
        </w:numPr>
        <w:spacing w:before="100" w:beforeAutospacing="1" w:after="100" w:afterAutospacing="1"/>
        <w:rPr>
          <w:rFonts w:eastAsia="Times New Roman" w:cstheme="minorHAnsi"/>
          <w:szCs w:val="24"/>
        </w:rPr>
      </w:pPr>
      <w:r w:rsidRPr="009F0E4B">
        <w:rPr>
          <w:rFonts w:cstheme="minorHAnsi"/>
          <w:szCs w:val="24"/>
        </w:rPr>
        <w:t>In alternate format as requested</w:t>
      </w:r>
    </w:p>
    <w:p w:rsidR="00090B8A" w:rsidRPr="009F0E4B" w:rsidRDefault="00501071" w:rsidP="00090B8A">
      <w:pPr>
        <w:rPr>
          <w:rFonts w:cstheme="minorHAnsi"/>
          <w:b/>
          <w:szCs w:val="24"/>
        </w:rPr>
      </w:pPr>
      <w:r w:rsidRPr="009F0E4B">
        <w:rPr>
          <w:rFonts w:cstheme="minorHAnsi"/>
          <w:b/>
          <w:szCs w:val="24"/>
        </w:rPr>
        <w:t>Accessibility Feedback</w:t>
      </w:r>
    </w:p>
    <w:p w:rsidR="00501071" w:rsidRPr="009F0E4B" w:rsidRDefault="00501071" w:rsidP="00501071">
      <w:pPr>
        <w:pStyle w:val="NormalWeb"/>
        <w:jc w:val="both"/>
        <w:rPr>
          <w:rFonts w:asciiTheme="minorHAnsi" w:hAnsiTheme="minorHAnsi" w:cstheme="minorHAnsi"/>
          <w:color w:val="000000"/>
        </w:rPr>
      </w:pPr>
      <w:r w:rsidRPr="009F0E4B">
        <w:rPr>
          <w:rFonts w:asciiTheme="minorHAnsi" w:hAnsiTheme="minorHAnsi" w:cstheme="minorHAnsi"/>
          <w:color w:val="000000"/>
        </w:rPr>
        <w:t xml:space="preserve">Queen's recognizes that feedback is critical to the process of identifying and removing barriers to participation as well as improving how we deliver our services to persons with disabilities.  The </w:t>
      </w:r>
      <w:hyperlink r:id="rId13" w:history="1">
        <w:r w:rsidRPr="009F0E4B">
          <w:rPr>
            <w:rStyle w:val="Hyperlink"/>
            <w:rFonts w:cstheme="minorHAnsi"/>
          </w:rPr>
          <w:t>Accessibility Feedback Online Form</w:t>
        </w:r>
      </w:hyperlink>
      <w:r w:rsidRPr="009F0E4B">
        <w:rPr>
          <w:rFonts w:asciiTheme="minorHAnsi" w:hAnsiTheme="minorHAnsi" w:cstheme="minorHAnsi"/>
          <w:color w:val="000000"/>
        </w:rPr>
        <w:t xml:space="preserve"> can be used to submit feedback about accessibility to the Equity Office.</w:t>
      </w:r>
    </w:p>
    <w:p w:rsidR="00501071" w:rsidRPr="009F0E4B" w:rsidRDefault="00501071" w:rsidP="00501071">
      <w:pPr>
        <w:pStyle w:val="NormalWeb"/>
        <w:rPr>
          <w:rFonts w:asciiTheme="minorHAnsi" w:hAnsiTheme="minorHAnsi" w:cstheme="minorHAnsi"/>
          <w:color w:val="000000"/>
        </w:rPr>
      </w:pPr>
      <w:r w:rsidRPr="009F0E4B">
        <w:rPr>
          <w:rFonts w:asciiTheme="minorHAnsi" w:hAnsiTheme="minorHAnsi" w:cstheme="minorHAnsi"/>
          <w:color w:val="000000"/>
        </w:rPr>
        <w:t>Feedback may also be given by emailing the Equity Office at </w:t>
      </w:r>
      <w:hyperlink r:id="rId14" w:history="1">
        <w:r w:rsidRPr="009F0E4B">
          <w:rPr>
            <w:rStyle w:val="Hyperlink"/>
            <w:rFonts w:cstheme="minorHAnsi"/>
          </w:rPr>
          <w:t>equity@queensu.ca</w:t>
        </w:r>
      </w:hyperlink>
      <w:r w:rsidRPr="009F0E4B">
        <w:rPr>
          <w:rFonts w:asciiTheme="minorHAnsi" w:hAnsiTheme="minorHAnsi" w:cstheme="minorHAnsi"/>
          <w:color w:val="000000"/>
        </w:rPr>
        <w:t>, by telephone at (613) 533-2563, or by fax at (613) 533-2031. You may also send feedback via regular mail:</w:t>
      </w:r>
      <w:r w:rsidR="002C4153" w:rsidRPr="009F0E4B">
        <w:rPr>
          <w:rFonts w:asciiTheme="minorHAnsi" w:hAnsiTheme="minorHAnsi" w:cstheme="minorHAnsi"/>
          <w:color w:val="000000"/>
        </w:rPr>
        <w:t xml:space="preserve"> </w:t>
      </w:r>
      <w:r w:rsidRPr="009F0E4B">
        <w:rPr>
          <w:rFonts w:asciiTheme="minorHAnsi" w:hAnsiTheme="minorHAnsi" w:cstheme="minorHAnsi"/>
          <w:color w:val="000000"/>
        </w:rPr>
        <w:t>Equity Office</w:t>
      </w:r>
      <w:r w:rsidRPr="009F0E4B">
        <w:rPr>
          <w:rFonts w:asciiTheme="minorHAnsi" w:hAnsiTheme="minorHAnsi" w:cstheme="minorHAnsi"/>
          <w:color w:val="000000"/>
        </w:rPr>
        <w:br/>
        <w:t>Queen's University</w:t>
      </w:r>
      <w:r w:rsidRPr="009F0E4B">
        <w:rPr>
          <w:rFonts w:asciiTheme="minorHAnsi" w:hAnsiTheme="minorHAnsi" w:cstheme="minorHAnsi"/>
          <w:color w:val="000000"/>
        </w:rPr>
        <w:br/>
        <w:t>Mackintosh-Corry Hall, Room B511</w:t>
      </w:r>
      <w:r w:rsidRPr="009F0E4B">
        <w:rPr>
          <w:rFonts w:asciiTheme="minorHAnsi" w:hAnsiTheme="minorHAnsi" w:cstheme="minorHAnsi"/>
          <w:color w:val="000000"/>
        </w:rPr>
        <w:br/>
        <w:t>99 University Avenue</w:t>
      </w:r>
      <w:r w:rsidRPr="009F0E4B">
        <w:rPr>
          <w:rFonts w:asciiTheme="minorHAnsi" w:hAnsiTheme="minorHAnsi" w:cstheme="minorHAnsi"/>
          <w:color w:val="000000"/>
        </w:rPr>
        <w:br/>
        <w:t>Kingston, ON, K7L 3N6</w:t>
      </w:r>
    </w:p>
    <w:p w:rsidR="00501071" w:rsidRPr="009F0E4B" w:rsidRDefault="00501071" w:rsidP="00090B8A">
      <w:pPr>
        <w:rPr>
          <w:rFonts w:cstheme="minorHAnsi"/>
          <w:b/>
          <w:sz w:val="28"/>
          <w:szCs w:val="28"/>
        </w:rPr>
      </w:pPr>
    </w:p>
    <w:p w:rsidR="00090B8A" w:rsidRPr="009F0E4B" w:rsidRDefault="00090B8A">
      <w:pPr>
        <w:rPr>
          <w:rFonts w:cstheme="minorHAnsi"/>
          <w:b/>
          <w:sz w:val="28"/>
          <w:szCs w:val="28"/>
        </w:rPr>
      </w:pPr>
      <w:r w:rsidRPr="009F0E4B">
        <w:rPr>
          <w:rFonts w:cstheme="minorHAnsi"/>
          <w:b/>
          <w:sz w:val="28"/>
          <w:szCs w:val="28"/>
        </w:rPr>
        <w:br w:type="page"/>
      </w:r>
    </w:p>
    <w:p w:rsidR="00162B72" w:rsidRPr="009F0E4B" w:rsidRDefault="00162B72" w:rsidP="00162B72">
      <w:pPr>
        <w:jc w:val="center"/>
        <w:rPr>
          <w:rFonts w:cstheme="minorHAnsi"/>
          <w:sz w:val="28"/>
          <w:szCs w:val="28"/>
        </w:rPr>
      </w:pPr>
      <w:r w:rsidRPr="009F0E4B">
        <w:rPr>
          <w:rFonts w:cstheme="minorHAnsi"/>
          <w:b/>
          <w:sz w:val="28"/>
          <w:szCs w:val="28"/>
        </w:rPr>
        <w:lastRenderedPageBreak/>
        <w:t xml:space="preserve">Message from </w:t>
      </w:r>
      <w:r w:rsidR="00DC6946" w:rsidRPr="009F0E4B">
        <w:rPr>
          <w:rFonts w:cstheme="minorHAnsi"/>
          <w:b/>
          <w:sz w:val="28"/>
          <w:szCs w:val="28"/>
        </w:rPr>
        <w:t xml:space="preserve">the Office of the </w:t>
      </w:r>
      <w:proofErr w:type="gramStart"/>
      <w:r w:rsidR="004621B8" w:rsidRPr="009F0E4B">
        <w:rPr>
          <w:rFonts w:cstheme="minorHAnsi"/>
          <w:b/>
          <w:sz w:val="28"/>
          <w:szCs w:val="28"/>
        </w:rPr>
        <w:t>Provost &amp;</w:t>
      </w:r>
      <w:proofErr w:type="gramEnd"/>
      <w:r w:rsidR="00345359" w:rsidRPr="009F0E4B">
        <w:rPr>
          <w:rFonts w:cstheme="minorHAnsi"/>
          <w:b/>
          <w:sz w:val="28"/>
          <w:szCs w:val="28"/>
        </w:rPr>
        <w:t xml:space="preserve"> </w:t>
      </w:r>
      <w:r w:rsidR="00DC6946" w:rsidRPr="009F0E4B">
        <w:rPr>
          <w:rFonts w:cstheme="minorHAnsi"/>
          <w:b/>
          <w:sz w:val="28"/>
          <w:szCs w:val="28"/>
        </w:rPr>
        <w:t>Vice-Principal (</w:t>
      </w:r>
      <w:r w:rsidR="00345359" w:rsidRPr="009F0E4B">
        <w:rPr>
          <w:rFonts w:cstheme="minorHAnsi"/>
          <w:b/>
          <w:sz w:val="28"/>
          <w:szCs w:val="28"/>
        </w:rPr>
        <w:t>Academic</w:t>
      </w:r>
      <w:r w:rsidR="00DC6946" w:rsidRPr="009F0E4B">
        <w:rPr>
          <w:rFonts w:cstheme="minorHAnsi"/>
          <w:b/>
          <w:sz w:val="28"/>
          <w:szCs w:val="28"/>
        </w:rPr>
        <w:t>)</w:t>
      </w:r>
    </w:p>
    <w:p w:rsidR="00351B4C" w:rsidRPr="009F0E4B" w:rsidRDefault="00351B4C" w:rsidP="003A692E">
      <w:pPr>
        <w:jc w:val="both"/>
        <w:rPr>
          <w:rFonts w:eastAsia="Times New Roman" w:cstheme="minorHAnsi"/>
          <w:szCs w:val="24"/>
        </w:rPr>
      </w:pPr>
      <w:r w:rsidRPr="009F0E4B">
        <w:rPr>
          <w:rFonts w:cstheme="minorHAnsi"/>
          <w:color w:val="000000"/>
          <w:szCs w:val="24"/>
        </w:rPr>
        <w:t>Queen’s University is committed to creating a campus community that is</w:t>
      </w:r>
      <w:r w:rsidR="006360D0">
        <w:rPr>
          <w:rFonts w:cstheme="minorHAnsi"/>
          <w:color w:val="000000"/>
          <w:szCs w:val="24"/>
        </w:rPr>
        <w:t xml:space="preserve"> safe and</w:t>
      </w:r>
      <w:r w:rsidRPr="009F0E4B">
        <w:rPr>
          <w:rFonts w:cstheme="minorHAnsi"/>
          <w:color w:val="000000"/>
          <w:szCs w:val="24"/>
        </w:rPr>
        <w:t xml:space="preserve"> inclusive </w:t>
      </w:r>
      <w:r w:rsidR="006360D0">
        <w:rPr>
          <w:rFonts w:cstheme="minorHAnsi"/>
          <w:color w:val="000000"/>
          <w:szCs w:val="24"/>
        </w:rPr>
        <w:t>for</w:t>
      </w:r>
      <w:r w:rsidRPr="009F0E4B">
        <w:rPr>
          <w:rFonts w:cstheme="minorHAnsi"/>
          <w:color w:val="000000"/>
          <w:szCs w:val="24"/>
        </w:rPr>
        <w:t xml:space="preserve"> all individuals. Successful learning, living, and employment outcomes are the result of a shared responsibility and commitment on the part of students, employees, faculty, and senior administrators. </w:t>
      </w:r>
      <w:r w:rsidR="00324ADA" w:rsidRPr="009F0E4B">
        <w:rPr>
          <w:rFonts w:cstheme="minorHAnsi"/>
          <w:color w:val="000000"/>
          <w:szCs w:val="24"/>
        </w:rPr>
        <w:t xml:space="preserve">As Queen’s continues to enhance its culture of inclusiveness, it will require the recognition and support of </w:t>
      </w:r>
      <w:r w:rsidR="00DE0D14">
        <w:rPr>
          <w:rFonts w:cstheme="minorHAnsi"/>
          <w:color w:val="000000"/>
          <w:szCs w:val="24"/>
        </w:rPr>
        <w:t xml:space="preserve">everyone </w:t>
      </w:r>
      <w:r w:rsidR="00DE0D14" w:rsidRPr="009F0E4B">
        <w:rPr>
          <w:rFonts w:cstheme="minorHAnsi"/>
          <w:color w:val="000000"/>
          <w:szCs w:val="24"/>
        </w:rPr>
        <w:t>on</w:t>
      </w:r>
      <w:r w:rsidR="00324ADA" w:rsidRPr="009F0E4B">
        <w:rPr>
          <w:rFonts w:cstheme="minorHAnsi"/>
          <w:color w:val="000000"/>
          <w:szCs w:val="24"/>
        </w:rPr>
        <w:t xml:space="preserve"> campus to ensure the remova</w:t>
      </w:r>
      <w:r w:rsidR="000C50EC" w:rsidRPr="009F0E4B">
        <w:rPr>
          <w:rFonts w:cstheme="minorHAnsi"/>
          <w:color w:val="000000"/>
          <w:szCs w:val="24"/>
        </w:rPr>
        <w:t>l of barriers to accessibility.</w:t>
      </w:r>
    </w:p>
    <w:p w:rsidR="00F4389E" w:rsidRPr="009F0E4B" w:rsidRDefault="00B6338A" w:rsidP="00F40748">
      <w:pPr>
        <w:spacing w:before="100" w:beforeAutospacing="1" w:after="100" w:afterAutospacing="1"/>
        <w:jc w:val="both"/>
        <w:rPr>
          <w:rFonts w:eastAsia="Times New Roman" w:cstheme="minorHAnsi"/>
          <w:szCs w:val="24"/>
        </w:rPr>
      </w:pPr>
      <w:proofErr w:type="gramStart"/>
      <w:r w:rsidRPr="009F0E4B">
        <w:rPr>
          <w:rFonts w:eastAsia="Times New Roman" w:cstheme="minorHAnsi"/>
          <w:szCs w:val="24"/>
        </w:rPr>
        <w:t>The aim of this document is to describe</w:t>
      </w:r>
      <w:r w:rsidR="006360D0">
        <w:rPr>
          <w:rFonts w:eastAsia="Times New Roman" w:cstheme="minorHAnsi"/>
          <w:szCs w:val="24"/>
        </w:rPr>
        <w:t xml:space="preserve"> the</w:t>
      </w:r>
      <w:r w:rsidRPr="009F0E4B">
        <w:rPr>
          <w:rFonts w:eastAsia="Times New Roman" w:cstheme="minorHAnsi"/>
          <w:szCs w:val="24"/>
        </w:rPr>
        <w:t xml:space="preserve"> measures that Queen’s University took during 201</w:t>
      </w:r>
      <w:r w:rsidR="00062A97">
        <w:rPr>
          <w:rFonts w:eastAsia="Times New Roman" w:cstheme="minorHAnsi"/>
          <w:szCs w:val="24"/>
        </w:rPr>
        <w:t>3</w:t>
      </w:r>
      <w:r w:rsidR="00455684" w:rsidRPr="009F0E4B">
        <w:rPr>
          <w:rFonts w:eastAsia="Times New Roman" w:cstheme="minorHAnsi"/>
          <w:szCs w:val="24"/>
        </w:rPr>
        <w:t>/201</w:t>
      </w:r>
      <w:r w:rsidR="00062A97">
        <w:rPr>
          <w:rFonts w:eastAsia="Times New Roman" w:cstheme="minorHAnsi"/>
          <w:szCs w:val="24"/>
        </w:rPr>
        <w:t>6</w:t>
      </w:r>
      <w:r w:rsidR="003E3670">
        <w:rPr>
          <w:rFonts w:eastAsia="Times New Roman" w:cstheme="minorHAnsi"/>
          <w:szCs w:val="24"/>
        </w:rPr>
        <w:t xml:space="preserve"> and </w:t>
      </w:r>
      <w:r w:rsidR="006360D0">
        <w:rPr>
          <w:rFonts w:eastAsia="Times New Roman" w:cstheme="minorHAnsi"/>
          <w:szCs w:val="24"/>
        </w:rPr>
        <w:t xml:space="preserve">the </w:t>
      </w:r>
      <w:r w:rsidR="003E3670">
        <w:rPr>
          <w:rFonts w:eastAsia="Times New Roman" w:cstheme="minorHAnsi"/>
          <w:szCs w:val="24"/>
        </w:rPr>
        <w:t xml:space="preserve">measures it </w:t>
      </w:r>
      <w:r w:rsidRPr="009F0E4B">
        <w:rPr>
          <w:rFonts w:eastAsia="Times New Roman" w:cstheme="minorHAnsi"/>
          <w:szCs w:val="24"/>
        </w:rPr>
        <w:t xml:space="preserve">will take </w:t>
      </w:r>
      <w:r w:rsidR="000D403F" w:rsidRPr="009F0E4B">
        <w:rPr>
          <w:rFonts w:eastAsia="Times New Roman" w:cstheme="minorHAnsi"/>
          <w:szCs w:val="24"/>
        </w:rPr>
        <w:t>moving forward</w:t>
      </w:r>
      <w:r w:rsidRPr="009F0E4B">
        <w:rPr>
          <w:rFonts w:eastAsia="Times New Roman" w:cstheme="minorHAnsi"/>
          <w:szCs w:val="24"/>
        </w:rPr>
        <w:t xml:space="preserve"> to identify, remove, and prevent barriers to persons with disabilities </w:t>
      </w:r>
      <w:r w:rsidR="00CD1784" w:rsidRPr="009F0E4B">
        <w:rPr>
          <w:rFonts w:eastAsia="Times New Roman" w:cstheme="minorHAnsi"/>
          <w:szCs w:val="24"/>
        </w:rPr>
        <w:t>so that our faculty, staff, students, parents, alumnae, and members of the broader community can access</w:t>
      </w:r>
      <w:r w:rsidRPr="009F0E4B">
        <w:rPr>
          <w:rFonts w:eastAsia="Times New Roman" w:cstheme="minorHAnsi"/>
          <w:szCs w:val="24"/>
        </w:rPr>
        <w:t xml:space="preserve"> </w:t>
      </w:r>
      <w:r w:rsidR="003E3670">
        <w:rPr>
          <w:rFonts w:eastAsia="Times New Roman" w:cstheme="minorHAnsi"/>
          <w:szCs w:val="24"/>
        </w:rPr>
        <w:t>the</w:t>
      </w:r>
      <w:r w:rsidRPr="009F0E4B">
        <w:rPr>
          <w:rFonts w:eastAsia="Times New Roman" w:cstheme="minorHAnsi"/>
          <w:szCs w:val="24"/>
        </w:rPr>
        <w:t xml:space="preserve"> university’s goods and services, fa</w:t>
      </w:r>
      <w:r w:rsidR="00CD1784" w:rsidRPr="009F0E4B">
        <w:rPr>
          <w:rFonts w:eastAsia="Times New Roman" w:cstheme="minorHAnsi"/>
          <w:szCs w:val="24"/>
        </w:rPr>
        <w:t xml:space="preserve">cilities, and premises </w:t>
      </w:r>
      <w:r w:rsidR="00582882" w:rsidRPr="009F0E4B">
        <w:rPr>
          <w:rFonts w:eastAsia="Times New Roman" w:cstheme="minorHAnsi"/>
          <w:szCs w:val="24"/>
        </w:rPr>
        <w:t xml:space="preserve">in a way that </w:t>
      </w:r>
      <w:r w:rsidR="006360D0">
        <w:rPr>
          <w:rFonts w:eastAsia="Times New Roman" w:cstheme="minorHAnsi"/>
          <w:szCs w:val="24"/>
        </w:rPr>
        <w:t xml:space="preserve">ensures </w:t>
      </w:r>
      <w:r w:rsidR="00582882" w:rsidRPr="009F0E4B">
        <w:rPr>
          <w:rFonts w:eastAsia="Times New Roman" w:cstheme="minorHAnsi"/>
          <w:szCs w:val="24"/>
        </w:rPr>
        <w:t>dignity and independence.</w:t>
      </w:r>
      <w:proofErr w:type="gramEnd"/>
      <w:r w:rsidR="00582882" w:rsidRPr="009F0E4B">
        <w:rPr>
          <w:rFonts w:eastAsia="Times New Roman" w:cstheme="minorHAnsi"/>
          <w:szCs w:val="24"/>
        </w:rPr>
        <w:t xml:space="preserve"> </w:t>
      </w:r>
      <w:r w:rsidR="009A3A39" w:rsidRPr="009F0E4B">
        <w:rPr>
          <w:rFonts w:eastAsia="Times New Roman" w:cstheme="minorHAnsi"/>
          <w:szCs w:val="24"/>
        </w:rPr>
        <w:t xml:space="preserve">Our goal is to advance our understanding of what makes a truly accessible organization, and </w:t>
      </w:r>
      <w:r w:rsidR="006360D0">
        <w:rPr>
          <w:rFonts w:eastAsia="Times New Roman" w:cstheme="minorHAnsi"/>
          <w:szCs w:val="24"/>
        </w:rPr>
        <w:t xml:space="preserve">to </w:t>
      </w:r>
      <w:r w:rsidR="009A3A39" w:rsidRPr="009F0E4B">
        <w:rPr>
          <w:rFonts w:eastAsia="Times New Roman" w:cstheme="minorHAnsi"/>
          <w:szCs w:val="24"/>
        </w:rPr>
        <w:t xml:space="preserve">transform that knowledge into a culture that builds accessibility into everything that we do. </w:t>
      </w:r>
    </w:p>
    <w:p w:rsidR="00162B72" w:rsidRDefault="00EB3FB5" w:rsidP="00130045">
      <w:pPr>
        <w:spacing w:after="307"/>
        <w:jc w:val="both"/>
        <w:rPr>
          <w:rFonts w:eastAsia="Times New Roman" w:cstheme="minorHAnsi"/>
          <w:szCs w:val="24"/>
        </w:rPr>
      </w:pPr>
      <w:r w:rsidRPr="00A06018">
        <w:rPr>
          <w:rFonts w:eastAsia="Times New Roman" w:cstheme="minorHAnsi"/>
          <w:szCs w:val="24"/>
        </w:rPr>
        <w:t xml:space="preserve">As </w:t>
      </w:r>
      <w:r w:rsidR="003E3670" w:rsidRPr="00A06018">
        <w:rPr>
          <w:rFonts w:eastAsia="Times New Roman" w:cstheme="minorHAnsi"/>
          <w:szCs w:val="24"/>
        </w:rPr>
        <w:t xml:space="preserve">we look towards future </w:t>
      </w:r>
      <w:proofErr w:type="gramStart"/>
      <w:r w:rsidR="003E3670" w:rsidRPr="00A06018">
        <w:rPr>
          <w:rFonts w:eastAsia="Times New Roman" w:cstheme="minorHAnsi"/>
          <w:szCs w:val="24"/>
        </w:rPr>
        <w:t>goals</w:t>
      </w:r>
      <w:r w:rsidR="003E3670">
        <w:rPr>
          <w:rFonts w:eastAsia="Times New Roman" w:cstheme="minorHAnsi"/>
          <w:szCs w:val="24"/>
        </w:rPr>
        <w:t>,</w:t>
      </w:r>
      <w:proofErr w:type="gramEnd"/>
      <w:r w:rsidR="003E3670">
        <w:rPr>
          <w:rFonts w:eastAsia="Times New Roman" w:cstheme="minorHAnsi"/>
          <w:szCs w:val="24"/>
        </w:rPr>
        <w:t xml:space="preserve"> and</w:t>
      </w:r>
      <w:r w:rsidR="003E3670" w:rsidRPr="00A06018">
        <w:rPr>
          <w:rFonts w:eastAsia="Times New Roman" w:cstheme="minorHAnsi"/>
          <w:szCs w:val="24"/>
        </w:rPr>
        <w:t xml:space="preserve"> </w:t>
      </w:r>
      <w:r w:rsidRPr="00A06018">
        <w:rPr>
          <w:rFonts w:eastAsia="Times New Roman" w:cstheme="minorHAnsi"/>
          <w:szCs w:val="24"/>
        </w:rPr>
        <w:t xml:space="preserve">Queen’s </w:t>
      </w:r>
      <w:r w:rsidR="00B06226" w:rsidRPr="00A06018">
        <w:rPr>
          <w:rFonts w:eastAsia="Times New Roman" w:cstheme="minorHAnsi"/>
          <w:szCs w:val="24"/>
        </w:rPr>
        <w:t>shifts</w:t>
      </w:r>
      <w:r w:rsidRPr="00A06018">
        <w:rPr>
          <w:rFonts w:eastAsia="Times New Roman" w:cstheme="minorHAnsi"/>
          <w:szCs w:val="24"/>
        </w:rPr>
        <w:t xml:space="preserve"> from compliance to competency with the Accessibility for Ontarians with Disabilities Act (AODA), </w:t>
      </w:r>
      <w:r w:rsidR="006360D0">
        <w:rPr>
          <w:rFonts w:eastAsia="Times New Roman" w:cstheme="minorHAnsi"/>
          <w:szCs w:val="24"/>
        </w:rPr>
        <w:t xml:space="preserve">I look forward to building on </w:t>
      </w:r>
      <w:r w:rsidR="002A5768">
        <w:rPr>
          <w:rFonts w:eastAsia="Times New Roman" w:cstheme="minorHAnsi"/>
          <w:szCs w:val="24"/>
        </w:rPr>
        <w:t>what</w:t>
      </w:r>
      <w:r w:rsidR="003E3670">
        <w:rPr>
          <w:rFonts w:eastAsia="Times New Roman" w:cstheme="minorHAnsi"/>
          <w:szCs w:val="24"/>
        </w:rPr>
        <w:t xml:space="preserve"> we have achieved</w:t>
      </w:r>
      <w:r w:rsidR="000D403F" w:rsidRPr="00A06018">
        <w:rPr>
          <w:rFonts w:eastAsia="Times New Roman" w:cstheme="minorHAnsi"/>
          <w:szCs w:val="24"/>
        </w:rPr>
        <w:t xml:space="preserve"> to date</w:t>
      </w:r>
      <w:r w:rsidR="003E3670">
        <w:rPr>
          <w:rFonts w:eastAsia="Times New Roman" w:cstheme="minorHAnsi"/>
          <w:szCs w:val="24"/>
        </w:rPr>
        <w:t>.</w:t>
      </w:r>
      <w:r w:rsidR="000D403F" w:rsidRPr="009F0E4B">
        <w:rPr>
          <w:rFonts w:eastAsia="Times New Roman" w:cstheme="minorHAnsi"/>
          <w:szCs w:val="24"/>
        </w:rPr>
        <w:t xml:space="preserve"> </w:t>
      </w:r>
      <w:r w:rsidR="00DC6946" w:rsidRPr="009F0E4B">
        <w:rPr>
          <w:rFonts w:eastAsia="Times New Roman" w:cstheme="minorHAnsi"/>
          <w:szCs w:val="24"/>
        </w:rPr>
        <w:t>I</w:t>
      </w:r>
      <w:r w:rsidR="005D7D20" w:rsidRPr="009F0E4B">
        <w:rPr>
          <w:rFonts w:eastAsia="Times New Roman" w:cstheme="minorHAnsi"/>
          <w:szCs w:val="24"/>
        </w:rPr>
        <w:t xml:space="preserve"> would like to thank</w:t>
      </w:r>
      <w:r w:rsidR="00030A16" w:rsidRPr="009F0E4B">
        <w:rPr>
          <w:rFonts w:eastAsia="Times New Roman" w:cstheme="minorHAnsi"/>
          <w:szCs w:val="24"/>
        </w:rPr>
        <w:t xml:space="preserve"> the </w:t>
      </w:r>
      <w:r w:rsidR="00DF5BDE" w:rsidRPr="009F0E4B">
        <w:rPr>
          <w:rFonts w:eastAsia="Times New Roman" w:cstheme="minorHAnsi"/>
          <w:szCs w:val="24"/>
        </w:rPr>
        <w:t>many members of the university community</w:t>
      </w:r>
      <w:r w:rsidR="00030A16" w:rsidRPr="009F0E4B">
        <w:rPr>
          <w:rFonts w:eastAsia="Times New Roman" w:cstheme="minorHAnsi"/>
          <w:szCs w:val="24"/>
        </w:rPr>
        <w:t xml:space="preserve"> for their hard work and collaborative efforts as </w:t>
      </w:r>
      <w:r w:rsidR="00DF5BDE" w:rsidRPr="009F0E4B">
        <w:rPr>
          <w:rFonts w:eastAsia="Times New Roman" w:cstheme="minorHAnsi"/>
          <w:szCs w:val="24"/>
        </w:rPr>
        <w:t xml:space="preserve">we continue to </w:t>
      </w:r>
      <w:r w:rsidR="001A089E" w:rsidRPr="009F0E4B">
        <w:rPr>
          <w:rFonts w:eastAsia="Times New Roman" w:cstheme="minorHAnsi"/>
          <w:szCs w:val="24"/>
        </w:rPr>
        <w:t xml:space="preserve">foster positive attitudes and </w:t>
      </w:r>
      <w:r w:rsidR="00DF5BDE" w:rsidRPr="009F0E4B">
        <w:rPr>
          <w:rFonts w:eastAsia="Times New Roman" w:cstheme="minorHAnsi"/>
          <w:szCs w:val="24"/>
        </w:rPr>
        <w:t xml:space="preserve">make progress towards a barrier-free campus. </w:t>
      </w:r>
      <w:r w:rsidR="005F7ED9" w:rsidRPr="009F0E4B">
        <w:rPr>
          <w:rFonts w:eastAsia="Times New Roman" w:cstheme="minorHAnsi"/>
          <w:szCs w:val="24"/>
        </w:rPr>
        <w:t xml:space="preserve">Accessibility is everyone’s responsibility; </w:t>
      </w:r>
      <w:r w:rsidR="00DC6946" w:rsidRPr="009F0E4B">
        <w:rPr>
          <w:rFonts w:eastAsia="Times New Roman" w:cstheme="minorHAnsi"/>
          <w:szCs w:val="24"/>
        </w:rPr>
        <w:t>I</w:t>
      </w:r>
      <w:r w:rsidR="00162B72" w:rsidRPr="009F0E4B">
        <w:rPr>
          <w:rFonts w:eastAsia="Times New Roman" w:cstheme="minorHAnsi"/>
          <w:szCs w:val="24"/>
        </w:rPr>
        <w:t xml:space="preserve"> welcome input from all members of the Queen's </w:t>
      </w:r>
      <w:r w:rsidR="001A089E" w:rsidRPr="009F0E4B">
        <w:rPr>
          <w:rFonts w:eastAsia="Times New Roman" w:cstheme="minorHAnsi"/>
          <w:szCs w:val="24"/>
        </w:rPr>
        <w:t xml:space="preserve">and broader </w:t>
      </w:r>
      <w:r w:rsidR="00162B72" w:rsidRPr="009F0E4B">
        <w:rPr>
          <w:rFonts w:eastAsia="Times New Roman" w:cstheme="minorHAnsi"/>
          <w:szCs w:val="24"/>
        </w:rPr>
        <w:t>community - students, faculty, staff, alumn</w:t>
      </w:r>
      <w:r w:rsidR="00A1587A" w:rsidRPr="009F0E4B">
        <w:rPr>
          <w:rFonts w:eastAsia="Times New Roman" w:cstheme="minorHAnsi"/>
          <w:szCs w:val="24"/>
        </w:rPr>
        <w:t xml:space="preserve">ae, </w:t>
      </w:r>
      <w:r w:rsidR="00162B72" w:rsidRPr="009F0E4B">
        <w:rPr>
          <w:rFonts w:eastAsia="Times New Roman" w:cstheme="minorHAnsi"/>
          <w:szCs w:val="24"/>
        </w:rPr>
        <w:t xml:space="preserve">and friends - as we work together </w:t>
      </w:r>
      <w:r w:rsidR="009A3A39" w:rsidRPr="009F0E4B">
        <w:rPr>
          <w:rFonts w:eastAsia="Times New Roman" w:cstheme="minorHAnsi"/>
          <w:szCs w:val="24"/>
        </w:rPr>
        <w:t xml:space="preserve">towards creating an environment that ensures </w:t>
      </w:r>
      <w:r w:rsidR="006360D0">
        <w:rPr>
          <w:rFonts w:eastAsia="Times New Roman" w:cstheme="minorHAnsi"/>
          <w:szCs w:val="24"/>
        </w:rPr>
        <w:t xml:space="preserve">that </w:t>
      </w:r>
      <w:r w:rsidR="009A3A39" w:rsidRPr="009F0E4B">
        <w:rPr>
          <w:rFonts w:eastAsia="Times New Roman" w:cstheme="minorHAnsi"/>
          <w:szCs w:val="24"/>
        </w:rPr>
        <w:t>everyone has a full and enriching Queen’s experience.</w:t>
      </w:r>
    </w:p>
    <w:p w:rsidR="002C7C03" w:rsidRPr="009F0E4B" w:rsidRDefault="002C7C03" w:rsidP="00130045">
      <w:pPr>
        <w:spacing w:after="307"/>
        <w:jc w:val="both"/>
        <w:rPr>
          <w:rFonts w:eastAsia="Times New Roman" w:cstheme="minorHAnsi"/>
          <w:szCs w:val="24"/>
        </w:rPr>
      </w:pPr>
      <w:r>
        <w:rPr>
          <w:rFonts w:eastAsia="Times New Roman" w:cstheme="minorHAnsi"/>
          <w:szCs w:val="24"/>
        </w:rPr>
        <w:t>Sincerely,</w:t>
      </w:r>
    </w:p>
    <w:p w:rsidR="009A0D88" w:rsidRDefault="009A0D88" w:rsidP="00B6338A">
      <w:pPr>
        <w:spacing w:after="0" w:line="240" w:lineRule="auto"/>
        <w:rPr>
          <w:rFonts w:eastAsia="Times New Roman" w:cstheme="minorHAnsi"/>
          <w:szCs w:val="24"/>
          <w:lang w:val="en-US"/>
        </w:rPr>
      </w:pPr>
      <w:r w:rsidRPr="009A0D88">
        <w:rPr>
          <w:rFonts w:eastAsia="Times New Roman" w:cstheme="minorHAnsi"/>
          <w:szCs w:val="24"/>
          <w:lang w:val="en-US"/>
        </w:rPr>
        <w:t xml:space="preserve">Benoit-Antoine Bacon </w:t>
      </w:r>
    </w:p>
    <w:p w:rsidR="00B6338A" w:rsidRPr="009F0E4B" w:rsidRDefault="00B6338A" w:rsidP="00B6338A">
      <w:pPr>
        <w:spacing w:after="0" w:line="240" w:lineRule="auto"/>
        <w:rPr>
          <w:rFonts w:eastAsia="Times New Roman" w:cstheme="minorHAnsi"/>
          <w:szCs w:val="24"/>
        </w:rPr>
      </w:pPr>
      <w:proofErr w:type="gramStart"/>
      <w:r w:rsidRPr="00DB12A7">
        <w:rPr>
          <w:rFonts w:eastAsia="Times New Roman" w:cstheme="minorHAnsi"/>
          <w:szCs w:val="24"/>
        </w:rPr>
        <w:t>Provost &amp;</w:t>
      </w:r>
      <w:proofErr w:type="gramEnd"/>
      <w:r w:rsidRPr="00DB12A7">
        <w:rPr>
          <w:rFonts w:eastAsia="Times New Roman" w:cstheme="minorHAnsi"/>
          <w:szCs w:val="24"/>
        </w:rPr>
        <w:t xml:space="preserve"> Vice-Principal (Academic)</w:t>
      </w:r>
    </w:p>
    <w:p w:rsidR="00B6338A" w:rsidRPr="009F0E4B" w:rsidRDefault="00B6338A" w:rsidP="00B6338A">
      <w:pPr>
        <w:spacing w:after="0" w:line="240" w:lineRule="auto"/>
        <w:rPr>
          <w:rFonts w:eastAsia="Times New Roman" w:cstheme="minorHAnsi"/>
          <w:szCs w:val="24"/>
        </w:rPr>
      </w:pPr>
    </w:p>
    <w:p w:rsidR="00B6338A" w:rsidRPr="009F0E4B" w:rsidRDefault="00B6338A" w:rsidP="00B6338A">
      <w:pPr>
        <w:spacing w:after="0" w:line="240" w:lineRule="auto"/>
        <w:rPr>
          <w:rFonts w:cstheme="minorHAnsi"/>
        </w:rPr>
      </w:pPr>
    </w:p>
    <w:p w:rsidR="00B6338A" w:rsidRPr="009F0E4B" w:rsidRDefault="00B6338A">
      <w:pPr>
        <w:rPr>
          <w:rFonts w:cstheme="minorHAnsi"/>
          <w:sz w:val="36"/>
          <w:szCs w:val="36"/>
        </w:rPr>
      </w:pPr>
      <w:r w:rsidRPr="009F0E4B">
        <w:rPr>
          <w:rFonts w:cstheme="minorHAnsi"/>
          <w:sz w:val="36"/>
          <w:szCs w:val="36"/>
        </w:rPr>
        <w:br w:type="page"/>
      </w:r>
    </w:p>
    <w:p w:rsidR="00B40B31" w:rsidRPr="009F0E4B" w:rsidRDefault="00463865" w:rsidP="00463865">
      <w:pPr>
        <w:pBdr>
          <w:bottom w:val="single" w:sz="6" w:space="1" w:color="auto"/>
        </w:pBdr>
        <w:rPr>
          <w:rFonts w:cstheme="minorHAnsi"/>
          <w:sz w:val="36"/>
          <w:szCs w:val="36"/>
        </w:rPr>
      </w:pPr>
      <w:r w:rsidRPr="009F0E4B">
        <w:rPr>
          <w:rFonts w:cstheme="minorHAnsi"/>
          <w:sz w:val="36"/>
          <w:szCs w:val="36"/>
        </w:rPr>
        <w:lastRenderedPageBreak/>
        <w:t xml:space="preserve">QUEEN’S </w:t>
      </w:r>
      <w:r w:rsidR="00E536AB" w:rsidRPr="009F0E4B">
        <w:rPr>
          <w:rFonts w:cstheme="minorHAnsi"/>
          <w:sz w:val="36"/>
          <w:szCs w:val="36"/>
        </w:rPr>
        <w:t>UNIVERSITY ACCESSIBILITY</w:t>
      </w:r>
      <w:r w:rsidRPr="009F0E4B">
        <w:rPr>
          <w:rFonts w:cstheme="minorHAnsi"/>
          <w:sz w:val="36"/>
          <w:szCs w:val="36"/>
        </w:rPr>
        <w:t xml:space="preserve"> PLAN</w:t>
      </w:r>
      <w:r w:rsidR="0055348A" w:rsidRPr="009F0E4B">
        <w:rPr>
          <w:rFonts w:cstheme="minorHAnsi"/>
          <w:sz w:val="36"/>
          <w:szCs w:val="36"/>
        </w:rPr>
        <w:t xml:space="preserve"> </w:t>
      </w:r>
    </w:p>
    <w:sdt>
      <w:sdtPr>
        <w:rPr>
          <w:rFonts w:asciiTheme="minorHAnsi" w:eastAsiaTheme="minorEastAsia" w:hAnsiTheme="minorHAnsi" w:cstheme="minorHAnsi"/>
          <w:b w:val="0"/>
          <w:bCs w:val="0"/>
          <w:color w:val="auto"/>
          <w:sz w:val="22"/>
          <w:szCs w:val="22"/>
        </w:rPr>
        <w:id w:val="-1428025450"/>
        <w:docPartObj>
          <w:docPartGallery w:val="Table of Contents"/>
          <w:docPartUnique/>
        </w:docPartObj>
      </w:sdtPr>
      <w:sdtEndPr>
        <w:rPr>
          <w:noProof/>
          <w:sz w:val="24"/>
        </w:rPr>
      </w:sdtEndPr>
      <w:sdtContent>
        <w:p w:rsidR="003432D8" w:rsidRPr="009F0E4B" w:rsidRDefault="003432D8">
          <w:pPr>
            <w:pStyle w:val="TOCHeading"/>
            <w:rPr>
              <w:rFonts w:asciiTheme="minorHAnsi" w:hAnsiTheme="minorHAnsi" w:cstheme="minorHAnsi"/>
            </w:rPr>
          </w:pPr>
          <w:r w:rsidRPr="009F0E4B">
            <w:rPr>
              <w:rFonts w:asciiTheme="minorHAnsi" w:hAnsiTheme="minorHAnsi" w:cstheme="minorHAnsi"/>
            </w:rPr>
            <w:t>Table of Contents</w:t>
          </w:r>
          <w:r w:rsidRPr="009F0E4B">
            <w:rPr>
              <w:rFonts w:asciiTheme="minorHAnsi" w:hAnsiTheme="minorHAnsi" w:cstheme="minorHAnsi"/>
            </w:rPr>
            <w:br/>
          </w:r>
        </w:p>
        <w:p w:rsidR="008A07F6" w:rsidRDefault="003432D8">
          <w:pPr>
            <w:pStyle w:val="TOC1"/>
            <w:rPr>
              <w:b w:val="0"/>
              <w:sz w:val="22"/>
              <w:szCs w:val="22"/>
              <w:lang w:eastAsia="en-CA"/>
            </w:rPr>
          </w:pPr>
          <w:r w:rsidRPr="009F0E4B">
            <w:rPr>
              <w:rFonts w:cstheme="minorHAnsi"/>
            </w:rPr>
            <w:fldChar w:fldCharType="begin"/>
          </w:r>
          <w:r w:rsidRPr="009F0E4B">
            <w:rPr>
              <w:rFonts w:cstheme="minorHAnsi"/>
            </w:rPr>
            <w:instrText xml:space="preserve"> TOC \o "1-3" \h \z \u </w:instrText>
          </w:r>
          <w:r w:rsidRPr="009F0E4B">
            <w:rPr>
              <w:rFonts w:cstheme="minorHAnsi"/>
            </w:rPr>
            <w:fldChar w:fldCharType="separate"/>
          </w:r>
          <w:hyperlink w:anchor="_Toc466287409" w:history="1">
            <w:r w:rsidR="008A07F6" w:rsidRPr="00C7130C">
              <w:rPr>
                <w:rStyle w:val="Hyperlink"/>
                <w:rFonts w:cstheme="minorHAnsi"/>
              </w:rPr>
              <w:t>Introduction and Background</w:t>
            </w:r>
            <w:r w:rsidR="008A07F6">
              <w:rPr>
                <w:webHidden/>
              </w:rPr>
              <w:tab/>
            </w:r>
            <w:r w:rsidR="008A07F6">
              <w:rPr>
                <w:webHidden/>
              </w:rPr>
              <w:fldChar w:fldCharType="begin"/>
            </w:r>
            <w:r w:rsidR="008A07F6">
              <w:rPr>
                <w:webHidden/>
              </w:rPr>
              <w:instrText xml:space="preserve"> PAGEREF _Toc466287409 \h </w:instrText>
            </w:r>
            <w:r w:rsidR="008A07F6">
              <w:rPr>
                <w:webHidden/>
              </w:rPr>
            </w:r>
            <w:r w:rsidR="008A07F6">
              <w:rPr>
                <w:webHidden/>
              </w:rPr>
              <w:fldChar w:fldCharType="separate"/>
            </w:r>
            <w:r w:rsidR="00277BA5">
              <w:rPr>
                <w:webHidden/>
              </w:rPr>
              <w:t>1</w:t>
            </w:r>
            <w:r w:rsidR="008A07F6">
              <w:rPr>
                <w:webHidden/>
              </w:rPr>
              <w:fldChar w:fldCharType="end"/>
            </w:r>
          </w:hyperlink>
        </w:p>
        <w:p w:rsidR="008A07F6" w:rsidRDefault="002D365D">
          <w:pPr>
            <w:pStyle w:val="TOC1"/>
            <w:rPr>
              <w:b w:val="0"/>
              <w:sz w:val="22"/>
              <w:szCs w:val="22"/>
              <w:lang w:eastAsia="en-CA"/>
            </w:rPr>
          </w:pPr>
          <w:hyperlink w:anchor="_Toc466287410" w:history="1">
            <w:r w:rsidR="008A07F6" w:rsidRPr="00C7130C">
              <w:rPr>
                <w:rStyle w:val="Hyperlink"/>
                <w:rFonts w:cstheme="minorHAnsi"/>
              </w:rPr>
              <w:t>Section 1: Vision &amp; Commitment to Accessibility</w:t>
            </w:r>
            <w:r w:rsidR="008A07F6">
              <w:rPr>
                <w:webHidden/>
              </w:rPr>
              <w:tab/>
            </w:r>
            <w:r w:rsidR="008A07F6">
              <w:rPr>
                <w:webHidden/>
              </w:rPr>
              <w:fldChar w:fldCharType="begin"/>
            </w:r>
            <w:r w:rsidR="008A07F6">
              <w:rPr>
                <w:webHidden/>
              </w:rPr>
              <w:instrText xml:space="preserve"> PAGEREF _Toc466287410 \h </w:instrText>
            </w:r>
            <w:r w:rsidR="008A07F6">
              <w:rPr>
                <w:webHidden/>
              </w:rPr>
            </w:r>
            <w:r w:rsidR="008A07F6">
              <w:rPr>
                <w:webHidden/>
              </w:rPr>
              <w:fldChar w:fldCharType="separate"/>
            </w:r>
            <w:r w:rsidR="00277BA5">
              <w:rPr>
                <w:webHidden/>
              </w:rPr>
              <w:t>2</w:t>
            </w:r>
            <w:r w:rsidR="008A07F6">
              <w:rPr>
                <w:webHidden/>
              </w:rPr>
              <w:fldChar w:fldCharType="end"/>
            </w:r>
          </w:hyperlink>
        </w:p>
        <w:p w:rsidR="008A07F6" w:rsidRDefault="002D365D">
          <w:pPr>
            <w:pStyle w:val="TOC2"/>
            <w:rPr>
              <w:rFonts w:eastAsiaTheme="minorEastAsia"/>
              <w:sz w:val="22"/>
              <w:szCs w:val="22"/>
              <w:lang w:eastAsia="en-CA"/>
            </w:rPr>
          </w:pPr>
          <w:hyperlink w:anchor="_Toc466287411" w:history="1">
            <w:r w:rsidR="008A07F6" w:rsidRPr="00C7130C">
              <w:rPr>
                <w:rStyle w:val="Hyperlink"/>
                <w:rFonts w:cstheme="minorHAnsi"/>
              </w:rPr>
              <w:t>Informed &amp; Committed Leadership</w:t>
            </w:r>
            <w:r w:rsidR="008A07F6">
              <w:rPr>
                <w:webHidden/>
              </w:rPr>
              <w:tab/>
            </w:r>
            <w:r w:rsidR="008A07F6">
              <w:rPr>
                <w:webHidden/>
              </w:rPr>
              <w:fldChar w:fldCharType="begin"/>
            </w:r>
            <w:r w:rsidR="008A07F6">
              <w:rPr>
                <w:webHidden/>
              </w:rPr>
              <w:instrText xml:space="preserve"> PAGEREF _Toc466287411 \h </w:instrText>
            </w:r>
            <w:r w:rsidR="008A07F6">
              <w:rPr>
                <w:webHidden/>
              </w:rPr>
            </w:r>
            <w:r w:rsidR="008A07F6">
              <w:rPr>
                <w:webHidden/>
              </w:rPr>
              <w:fldChar w:fldCharType="separate"/>
            </w:r>
            <w:r w:rsidR="00277BA5">
              <w:rPr>
                <w:webHidden/>
              </w:rPr>
              <w:t>2</w:t>
            </w:r>
            <w:r w:rsidR="008A07F6">
              <w:rPr>
                <w:webHidden/>
              </w:rPr>
              <w:fldChar w:fldCharType="end"/>
            </w:r>
          </w:hyperlink>
        </w:p>
        <w:p w:rsidR="008A07F6" w:rsidRDefault="002D365D">
          <w:pPr>
            <w:pStyle w:val="TOC2"/>
            <w:rPr>
              <w:rFonts w:eastAsiaTheme="minorEastAsia"/>
              <w:sz w:val="22"/>
              <w:szCs w:val="22"/>
              <w:lang w:eastAsia="en-CA"/>
            </w:rPr>
          </w:pPr>
          <w:hyperlink w:anchor="_Toc466287412" w:history="1">
            <w:r w:rsidR="008A07F6" w:rsidRPr="00C7130C">
              <w:rPr>
                <w:rStyle w:val="Hyperlink"/>
                <w:rFonts w:cstheme="minorHAnsi"/>
              </w:rPr>
              <w:t>Evaluation</w:t>
            </w:r>
            <w:r w:rsidR="008A07F6">
              <w:rPr>
                <w:webHidden/>
              </w:rPr>
              <w:tab/>
            </w:r>
            <w:r w:rsidR="008A07F6">
              <w:rPr>
                <w:webHidden/>
              </w:rPr>
              <w:fldChar w:fldCharType="begin"/>
            </w:r>
            <w:r w:rsidR="008A07F6">
              <w:rPr>
                <w:webHidden/>
              </w:rPr>
              <w:instrText xml:space="preserve"> PAGEREF _Toc466287412 \h </w:instrText>
            </w:r>
            <w:r w:rsidR="008A07F6">
              <w:rPr>
                <w:webHidden/>
              </w:rPr>
            </w:r>
            <w:r w:rsidR="008A07F6">
              <w:rPr>
                <w:webHidden/>
              </w:rPr>
              <w:fldChar w:fldCharType="separate"/>
            </w:r>
            <w:r w:rsidR="00277BA5">
              <w:rPr>
                <w:webHidden/>
              </w:rPr>
              <w:t>3</w:t>
            </w:r>
            <w:r w:rsidR="008A07F6">
              <w:rPr>
                <w:webHidden/>
              </w:rPr>
              <w:fldChar w:fldCharType="end"/>
            </w:r>
          </w:hyperlink>
        </w:p>
        <w:p w:rsidR="008A07F6" w:rsidRDefault="002D365D">
          <w:pPr>
            <w:pStyle w:val="TOC2"/>
            <w:rPr>
              <w:rFonts w:eastAsiaTheme="minorEastAsia"/>
              <w:sz w:val="22"/>
              <w:szCs w:val="22"/>
              <w:lang w:eastAsia="en-CA"/>
            </w:rPr>
          </w:pPr>
          <w:hyperlink w:anchor="_Toc466287413" w:history="1">
            <w:r w:rsidR="008A07F6" w:rsidRPr="00C7130C">
              <w:rPr>
                <w:rStyle w:val="Hyperlink"/>
              </w:rPr>
              <w:t>Alignment and Coordination</w:t>
            </w:r>
            <w:r w:rsidR="008A07F6">
              <w:rPr>
                <w:webHidden/>
              </w:rPr>
              <w:tab/>
            </w:r>
            <w:r w:rsidR="008A07F6">
              <w:rPr>
                <w:webHidden/>
              </w:rPr>
              <w:fldChar w:fldCharType="begin"/>
            </w:r>
            <w:r w:rsidR="008A07F6">
              <w:rPr>
                <w:webHidden/>
              </w:rPr>
              <w:instrText xml:space="preserve"> PAGEREF _Toc466287413 \h </w:instrText>
            </w:r>
            <w:r w:rsidR="008A07F6">
              <w:rPr>
                <w:webHidden/>
              </w:rPr>
            </w:r>
            <w:r w:rsidR="008A07F6">
              <w:rPr>
                <w:webHidden/>
              </w:rPr>
              <w:fldChar w:fldCharType="separate"/>
            </w:r>
            <w:r w:rsidR="00277BA5">
              <w:rPr>
                <w:webHidden/>
              </w:rPr>
              <w:t>3</w:t>
            </w:r>
            <w:r w:rsidR="008A07F6">
              <w:rPr>
                <w:webHidden/>
              </w:rPr>
              <w:fldChar w:fldCharType="end"/>
            </w:r>
          </w:hyperlink>
        </w:p>
        <w:p w:rsidR="008A07F6" w:rsidRDefault="002D365D">
          <w:pPr>
            <w:pStyle w:val="TOC2"/>
            <w:rPr>
              <w:rFonts w:eastAsiaTheme="minorEastAsia"/>
              <w:sz w:val="22"/>
              <w:szCs w:val="22"/>
              <w:lang w:eastAsia="en-CA"/>
            </w:rPr>
          </w:pPr>
          <w:hyperlink w:anchor="_Toc466287414" w:history="1">
            <w:r w:rsidR="008A07F6" w:rsidRPr="00C7130C">
              <w:rPr>
                <w:rStyle w:val="Hyperlink"/>
              </w:rPr>
              <w:t>Queen’s University’s Comprehensive Strategic Framework for Accessibility</w:t>
            </w:r>
            <w:r w:rsidR="008A07F6">
              <w:rPr>
                <w:webHidden/>
              </w:rPr>
              <w:tab/>
            </w:r>
            <w:r w:rsidR="008A07F6">
              <w:rPr>
                <w:webHidden/>
              </w:rPr>
              <w:fldChar w:fldCharType="begin"/>
            </w:r>
            <w:r w:rsidR="008A07F6">
              <w:rPr>
                <w:webHidden/>
              </w:rPr>
              <w:instrText xml:space="preserve"> PAGEREF _Toc466287414 \h </w:instrText>
            </w:r>
            <w:r w:rsidR="008A07F6">
              <w:rPr>
                <w:webHidden/>
              </w:rPr>
            </w:r>
            <w:r w:rsidR="008A07F6">
              <w:rPr>
                <w:webHidden/>
              </w:rPr>
              <w:fldChar w:fldCharType="separate"/>
            </w:r>
            <w:r w:rsidR="00277BA5">
              <w:rPr>
                <w:webHidden/>
              </w:rPr>
              <w:t>3</w:t>
            </w:r>
            <w:r w:rsidR="008A07F6">
              <w:rPr>
                <w:webHidden/>
              </w:rPr>
              <w:fldChar w:fldCharType="end"/>
            </w:r>
          </w:hyperlink>
        </w:p>
        <w:p w:rsidR="008A07F6" w:rsidRDefault="002D365D">
          <w:pPr>
            <w:pStyle w:val="TOC3"/>
            <w:tabs>
              <w:tab w:val="right" w:leader="dot" w:pos="9350"/>
            </w:tabs>
            <w:rPr>
              <w:noProof/>
              <w:sz w:val="22"/>
              <w:lang w:eastAsia="en-CA"/>
            </w:rPr>
          </w:pPr>
          <w:hyperlink w:anchor="_Toc466287415" w:history="1">
            <w:r w:rsidR="008A07F6" w:rsidRPr="00C7130C">
              <w:rPr>
                <w:rStyle w:val="Hyperlink"/>
                <w:noProof/>
              </w:rPr>
              <w:t>Phase One - Compliance</w:t>
            </w:r>
            <w:r w:rsidR="008A07F6">
              <w:rPr>
                <w:noProof/>
                <w:webHidden/>
              </w:rPr>
              <w:tab/>
            </w:r>
            <w:r w:rsidR="008A07F6">
              <w:rPr>
                <w:noProof/>
                <w:webHidden/>
              </w:rPr>
              <w:fldChar w:fldCharType="begin"/>
            </w:r>
            <w:r w:rsidR="008A07F6">
              <w:rPr>
                <w:noProof/>
                <w:webHidden/>
              </w:rPr>
              <w:instrText xml:space="preserve"> PAGEREF _Toc466287415 \h </w:instrText>
            </w:r>
            <w:r w:rsidR="008A07F6">
              <w:rPr>
                <w:noProof/>
                <w:webHidden/>
              </w:rPr>
            </w:r>
            <w:r w:rsidR="008A07F6">
              <w:rPr>
                <w:noProof/>
                <w:webHidden/>
              </w:rPr>
              <w:fldChar w:fldCharType="separate"/>
            </w:r>
            <w:r w:rsidR="00277BA5">
              <w:rPr>
                <w:noProof/>
                <w:webHidden/>
              </w:rPr>
              <w:t>4</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16" w:history="1">
            <w:r w:rsidR="008A07F6" w:rsidRPr="00C7130C">
              <w:rPr>
                <w:rStyle w:val="Hyperlink"/>
                <w:noProof/>
              </w:rPr>
              <w:t>Phase Two - Competency</w:t>
            </w:r>
            <w:r w:rsidR="008A07F6">
              <w:rPr>
                <w:noProof/>
                <w:webHidden/>
              </w:rPr>
              <w:tab/>
            </w:r>
            <w:r w:rsidR="008A07F6">
              <w:rPr>
                <w:noProof/>
                <w:webHidden/>
              </w:rPr>
              <w:fldChar w:fldCharType="begin"/>
            </w:r>
            <w:r w:rsidR="008A07F6">
              <w:rPr>
                <w:noProof/>
                <w:webHidden/>
              </w:rPr>
              <w:instrText xml:space="preserve"> PAGEREF _Toc466287416 \h </w:instrText>
            </w:r>
            <w:r w:rsidR="008A07F6">
              <w:rPr>
                <w:noProof/>
                <w:webHidden/>
              </w:rPr>
            </w:r>
            <w:r w:rsidR="008A07F6">
              <w:rPr>
                <w:noProof/>
                <w:webHidden/>
              </w:rPr>
              <w:fldChar w:fldCharType="separate"/>
            </w:r>
            <w:r w:rsidR="00277BA5">
              <w:rPr>
                <w:noProof/>
                <w:webHidden/>
              </w:rPr>
              <w:t>5</w:t>
            </w:r>
            <w:r w:rsidR="008A07F6">
              <w:rPr>
                <w:noProof/>
                <w:webHidden/>
              </w:rPr>
              <w:fldChar w:fldCharType="end"/>
            </w:r>
          </w:hyperlink>
        </w:p>
        <w:p w:rsidR="008A07F6" w:rsidRDefault="002D365D">
          <w:pPr>
            <w:pStyle w:val="TOC2"/>
            <w:rPr>
              <w:rFonts w:eastAsiaTheme="minorEastAsia"/>
              <w:sz w:val="22"/>
              <w:szCs w:val="22"/>
              <w:lang w:eastAsia="en-CA"/>
            </w:rPr>
          </w:pPr>
          <w:hyperlink w:anchor="_Toc466287417" w:history="1">
            <w:r w:rsidR="008A07F6" w:rsidRPr="00C7130C">
              <w:rPr>
                <w:rStyle w:val="Hyperlink"/>
              </w:rPr>
              <w:t>Barrier Identification</w:t>
            </w:r>
            <w:r w:rsidR="008A07F6">
              <w:rPr>
                <w:webHidden/>
              </w:rPr>
              <w:tab/>
            </w:r>
            <w:r w:rsidR="008A07F6">
              <w:rPr>
                <w:webHidden/>
              </w:rPr>
              <w:fldChar w:fldCharType="begin"/>
            </w:r>
            <w:r w:rsidR="008A07F6">
              <w:rPr>
                <w:webHidden/>
              </w:rPr>
              <w:instrText xml:space="preserve"> PAGEREF _Toc466287417 \h </w:instrText>
            </w:r>
            <w:r w:rsidR="008A07F6">
              <w:rPr>
                <w:webHidden/>
              </w:rPr>
            </w:r>
            <w:r w:rsidR="008A07F6">
              <w:rPr>
                <w:webHidden/>
              </w:rPr>
              <w:fldChar w:fldCharType="separate"/>
            </w:r>
            <w:r w:rsidR="00277BA5">
              <w:rPr>
                <w:webHidden/>
              </w:rPr>
              <w:t>6</w:t>
            </w:r>
            <w:r w:rsidR="008A07F6">
              <w:rPr>
                <w:webHidden/>
              </w:rPr>
              <w:fldChar w:fldCharType="end"/>
            </w:r>
          </w:hyperlink>
        </w:p>
        <w:p w:rsidR="008A07F6" w:rsidRDefault="002D365D">
          <w:pPr>
            <w:pStyle w:val="TOC1"/>
            <w:rPr>
              <w:b w:val="0"/>
              <w:sz w:val="22"/>
              <w:szCs w:val="22"/>
              <w:lang w:eastAsia="en-CA"/>
            </w:rPr>
          </w:pPr>
          <w:hyperlink w:anchor="_Toc466287418" w:history="1">
            <w:r w:rsidR="008A07F6" w:rsidRPr="00C7130C">
              <w:rPr>
                <w:rStyle w:val="Hyperlink"/>
              </w:rPr>
              <w:t>Section 2: Accessibility at Queen’s University</w:t>
            </w:r>
            <w:r w:rsidR="008A07F6">
              <w:rPr>
                <w:webHidden/>
              </w:rPr>
              <w:tab/>
            </w:r>
            <w:r w:rsidR="008A07F6">
              <w:rPr>
                <w:webHidden/>
              </w:rPr>
              <w:fldChar w:fldCharType="begin"/>
            </w:r>
            <w:r w:rsidR="008A07F6">
              <w:rPr>
                <w:webHidden/>
              </w:rPr>
              <w:instrText xml:space="preserve"> PAGEREF _Toc466287418 \h </w:instrText>
            </w:r>
            <w:r w:rsidR="008A07F6">
              <w:rPr>
                <w:webHidden/>
              </w:rPr>
            </w:r>
            <w:r w:rsidR="008A07F6">
              <w:rPr>
                <w:webHidden/>
              </w:rPr>
              <w:fldChar w:fldCharType="separate"/>
            </w:r>
            <w:r w:rsidR="00277BA5">
              <w:rPr>
                <w:webHidden/>
              </w:rPr>
              <w:t>7</w:t>
            </w:r>
            <w:r w:rsidR="008A07F6">
              <w:rPr>
                <w:webHidden/>
              </w:rPr>
              <w:fldChar w:fldCharType="end"/>
            </w:r>
          </w:hyperlink>
        </w:p>
        <w:p w:rsidR="008A07F6" w:rsidRDefault="002D365D">
          <w:pPr>
            <w:pStyle w:val="TOC2"/>
            <w:rPr>
              <w:rFonts w:eastAsiaTheme="minorEastAsia"/>
              <w:sz w:val="22"/>
              <w:szCs w:val="22"/>
              <w:lang w:eastAsia="en-CA"/>
            </w:rPr>
          </w:pPr>
          <w:hyperlink w:anchor="_Toc466287419" w:history="1">
            <w:r w:rsidR="008A07F6" w:rsidRPr="00C7130C">
              <w:rPr>
                <w:rStyle w:val="Hyperlink"/>
              </w:rPr>
              <w:t>Achievements for 2013/2016</w:t>
            </w:r>
            <w:r w:rsidR="008A07F6">
              <w:rPr>
                <w:webHidden/>
              </w:rPr>
              <w:tab/>
            </w:r>
            <w:r w:rsidR="008A07F6">
              <w:rPr>
                <w:webHidden/>
              </w:rPr>
              <w:fldChar w:fldCharType="begin"/>
            </w:r>
            <w:r w:rsidR="008A07F6">
              <w:rPr>
                <w:webHidden/>
              </w:rPr>
              <w:instrText xml:space="preserve"> PAGEREF _Toc466287419 \h </w:instrText>
            </w:r>
            <w:r w:rsidR="008A07F6">
              <w:rPr>
                <w:webHidden/>
              </w:rPr>
            </w:r>
            <w:r w:rsidR="008A07F6">
              <w:rPr>
                <w:webHidden/>
              </w:rPr>
              <w:fldChar w:fldCharType="separate"/>
            </w:r>
            <w:r w:rsidR="00277BA5">
              <w:rPr>
                <w:webHidden/>
              </w:rPr>
              <w:t>7</w:t>
            </w:r>
            <w:r w:rsidR="008A07F6">
              <w:rPr>
                <w:webHidden/>
              </w:rPr>
              <w:fldChar w:fldCharType="end"/>
            </w:r>
          </w:hyperlink>
        </w:p>
        <w:p w:rsidR="008A07F6" w:rsidRDefault="002D365D">
          <w:pPr>
            <w:pStyle w:val="TOC3"/>
            <w:tabs>
              <w:tab w:val="right" w:leader="dot" w:pos="9350"/>
            </w:tabs>
            <w:rPr>
              <w:noProof/>
              <w:sz w:val="22"/>
              <w:lang w:eastAsia="en-CA"/>
            </w:rPr>
          </w:pPr>
          <w:hyperlink w:anchor="_Toc466287420" w:history="1">
            <w:r w:rsidR="008A07F6" w:rsidRPr="00C7130C">
              <w:rPr>
                <w:rStyle w:val="Hyperlink"/>
                <w:noProof/>
              </w:rPr>
              <w:t>Consulting Persons with Disabilities and the Broader Community</w:t>
            </w:r>
            <w:r w:rsidR="008A07F6">
              <w:rPr>
                <w:noProof/>
                <w:webHidden/>
              </w:rPr>
              <w:tab/>
            </w:r>
            <w:r w:rsidR="008A07F6">
              <w:rPr>
                <w:noProof/>
                <w:webHidden/>
              </w:rPr>
              <w:fldChar w:fldCharType="begin"/>
            </w:r>
            <w:r w:rsidR="008A07F6">
              <w:rPr>
                <w:noProof/>
                <w:webHidden/>
              </w:rPr>
              <w:instrText xml:space="preserve"> PAGEREF _Toc466287420 \h </w:instrText>
            </w:r>
            <w:r w:rsidR="008A07F6">
              <w:rPr>
                <w:noProof/>
                <w:webHidden/>
              </w:rPr>
            </w:r>
            <w:r w:rsidR="008A07F6">
              <w:rPr>
                <w:noProof/>
                <w:webHidden/>
              </w:rPr>
              <w:fldChar w:fldCharType="separate"/>
            </w:r>
            <w:r w:rsidR="00277BA5">
              <w:rPr>
                <w:noProof/>
                <w:webHidden/>
              </w:rPr>
              <w:t>7</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21" w:history="1">
            <w:r w:rsidR="008A07F6" w:rsidRPr="00C7130C">
              <w:rPr>
                <w:rStyle w:val="Hyperlink"/>
                <w:noProof/>
              </w:rPr>
              <w:t>Accessibility Hub</w:t>
            </w:r>
            <w:r w:rsidR="008A07F6">
              <w:rPr>
                <w:noProof/>
                <w:webHidden/>
              </w:rPr>
              <w:tab/>
            </w:r>
            <w:r w:rsidR="008A07F6">
              <w:rPr>
                <w:noProof/>
                <w:webHidden/>
              </w:rPr>
              <w:fldChar w:fldCharType="begin"/>
            </w:r>
            <w:r w:rsidR="008A07F6">
              <w:rPr>
                <w:noProof/>
                <w:webHidden/>
              </w:rPr>
              <w:instrText xml:space="preserve"> PAGEREF _Toc466287421 \h </w:instrText>
            </w:r>
            <w:r w:rsidR="008A07F6">
              <w:rPr>
                <w:noProof/>
                <w:webHidden/>
              </w:rPr>
            </w:r>
            <w:r w:rsidR="008A07F6">
              <w:rPr>
                <w:noProof/>
                <w:webHidden/>
              </w:rPr>
              <w:fldChar w:fldCharType="separate"/>
            </w:r>
            <w:r w:rsidR="00277BA5">
              <w:rPr>
                <w:noProof/>
                <w:webHidden/>
              </w:rPr>
              <w:t>8</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22" w:history="1">
            <w:r w:rsidR="008A07F6" w:rsidRPr="00C7130C">
              <w:rPr>
                <w:rStyle w:val="Hyperlink"/>
                <w:noProof/>
              </w:rPr>
              <w:t>Accessibility Services Self-Study Report</w:t>
            </w:r>
            <w:r w:rsidR="008A07F6">
              <w:rPr>
                <w:noProof/>
                <w:webHidden/>
              </w:rPr>
              <w:tab/>
            </w:r>
            <w:r w:rsidR="008A07F6">
              <w:rPr>
                <w:noProof/>
                <w:webHidden/>
              </w:rPr>
              <w:fldChar w:fldCharType="begin"/>
            </w:r>
            <w:r w:rsidR="008A07F6">
              <w:rPr>
                <w:noProof/>
                <w:webHidden/>
              </w:rPr>
              <w:instrText xml:space="preserve"> PAGEREF _Toc466287422 \h </w:instrText>
            </w:r>
            <w:r w:rsidR="008A07F6">
              <w:rPr>
                <w:noProof/>
                <w:webHidden/>
              </w:rPr>
            </w:r>
            <w:r w:rsidR="008A07F6">
              <w:rPr>
                <w:noProof/>
                <w:webHidden/>
              </w:rPr>
              <w:fldChar w:fldCharType="separate"/>
            </w:r>
            <w:r w:rsidR="00277BA5">
              <w:rPr>
                <w:noProof/>
                <w:webHidden/>
              </w:rPr>
              <w:t>8</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23" w:history="1">
            <w:r w:rsidR="008A07F6" w:rsidRPr="00C7130C">
              <w:rPr>
                <w:rStyle w:val="Hyperlink"/>
                <w:noProof/>
              </w:rPr>
              <w:t>Diversity and Equity Self-Assessment and Planning (DEAP) Tool</w:t>
            </w:r>
            <w:r w:rsidR="008A07F6">
              <w:rPr>
                <w:noProof/>
                <w:webHidden/>
              </w:rPr>
              <w:tab/>
            </w:r>
            <w:r w:rsidR="008A07F6">
              <w:rPr>
                <w:noProof/>
                <w:webHidden/>
              </w:rPr>
              <w:fldChar w:fldCharType="begin"/>
            </w:r>
            <w:r w:rsidR="008A07F6">
              <w:rPr>
                <w:noProof/>
                <w:webHidden/>
              </w:rPr>
              <w:instrText xml:space="preserve"> PAGEREF _Toc466287423 \h </w:instrText>
            </w:r>
            <w:r w:rsidR="008A07F6">
              <w:rPr>
                <w:noProof/>
                <w:webHidden/>
              </w:rPr>
            </w:r>
            <w:r w:rsidR="008A07F6">
              <w:rPr>
                <w:noProof/>
                <w:webHidden/>
              </w:rPr>
              <w:fldChar w:fldCharType="separate"/>
            </w:r>
            <w:r w:rsidR="00277BA5">
              <w:rPr>
                <w:noProof/>
                <w:webHidden/>
              </w:rPr>
              <w:t>9</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24" w:history="1">
            <w:r w:rsidR="008A07F6" w:rsidRPr="00C7130C">
              <w:rPr>
                <w:rStyle w:val="Hyperlink"/>
                <w:noProof/>
              </w:rPr>
              <w:t>Student Wellness Services</w:t>
            </w:r>
            <w:r w:rsidR="008A07F6">
              <w:rPr>
                <w:noProof/>
                <w:webHidden/>
              </w:rPr>
              <w:tab/>
            </w:r>
            <w:r w:rsidR="008A07F6">
              <w:rPr>
                <w:noProof/>
                <w:webHidden/>
              </w:rPr>
              <w:fldChar w:fldCharType="begin"/>
            </w:r>
            <w:r w:rsidR="008A07F6">
              <w:rPr>
                <w:noProof/>
                <w:webHidden/>
              </w:rPr>
              <w:instrText xml:space="preserve"> PAGEREF _Toc466287424 \h </w:instrText>
            </w:r>
            <w:r w:rsidR="008A07F6">
              <w:rPr>
                <w:noProof/>
                <w:webHidden/>
              </w:rPr>
            </w:r>
            <w:r w:rsidR="008A07F6">
              <w:rPr>
                <w:noProof/>
                <w:webHidden/>
              </w:rPr>
              <w:fldChar w:fldCharType="separate"/>
            </w:r>
            <w:r w:rsidR="00277BA5">
              <w:rPr>
                <w:noProof/>
                <w:webHidden/>
              </w:rPr>
              <w:t>9</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25" w:history="1">
            <w:r w:rsidR="008A07F6" w:rsidRPr="00C7130C">
              <w:rPr>
                <w:rStyle w:val="Hyperlink"/>
                <w:noProof/>
              </w:rPr>
              <w:t>Academic Accommodation Policy</w:t>
            </w:r>
            <w:r w:rsidR="008A07F6">
              <w:rPr>
                <w:noProof/>
                <w:webHidden/>
              </w:rPr>
              <w:tab/>
            </w:r>
            <w:r w:rsidR="008A07F6">
              <w:rPr>
                <w:noProof/>
                <w:webHidden/>
              </w:rPr>
              <w:fldChar w:fldCharType="begin"/>
            </w:r>
            <w:r w:rsidR="008A07F6">
              <w:rPr>
                <w:noProof/>
                <w:webHidden/>
              </w:rPr>
              <w:instrText xml:space="preserve"> PAGEREF _Toc466287425 \h </w:instrText>
            </w:r>
            <w:r w:rsidR="008A07F6">
              <w:rPr>
                <w:noProof/>
                <w:webHidden/>
              </w:rPr>
            </w:r>
            <w:r w:rsidR="008A07F6">
              <w:rPr>
                <w:noProof/>
                <w:webHidden/>
              </w:rPr>
              <w:fldChar w:fldCharType="separate"/>
            </w:r>
            <w:r w:rsidR="00277BA5">
              <w:rPr>
                <w:noProof/>
                <w:webHidden/>
              </w:rPr>
              <w:t>10</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26" w:history="1">
            <w:r w:rsidR="008A07F6" w:rsidRPr="00C7130C">
              <w:rPr>
                <w:rStyle w:val="Hyperlink"/>
                <w:noProof/>
              </w:rPr>
              <w:t>Customer Service</w:t>
            </w:r>
            <w:r w:rsidR="008A07F6">
              <w:rPr>
                <w:noProof/>
                <w:webHidden/>
              </w:rPr>
              <w:tab/>
            </w:r>
            <w:r w:rsidR="008A07F6">
              <w:rPr>
                <w:noProof/>
                <w:webHidden/>
              </w:rPr>
              <w:fldChar w:fldCharType="begin"/>
            </w:r>
            <w:r w:rsidR="008A07F6">
              <w:rPr>
                <w:noProof/>
                <w:webHidden/>
              </w:rPr>
              <w:instrText xml:space="preserve"> PAGEREF _Toc466287426 \h </w:instrText>
            </w:r>
            <w:r w:rsidR="008A07F6">
              <w:rPr>
                <w:noProof/>
                <w:webHidden/>
              </w:rPr>
            </w:r>
            <w:r w:rsidR="008A07F6">
              <w:rPr>
                <w:noProof/>
                <w:webHidden/>
              </w:rPr>
              <w:fldChar w:fldCharType="separate"/>
            </w:r>
            <w:r w:rsidR="00277BA5">
              <w:rPr>
                <w:noProof/>
                <w:webHidden/>
              </w:rPr>
              <w:t>10</w:t>
            </w:r>
            <w:r w:rsidR="008A07F6">
              <w:rPr>
                <w:noProof/>
                <w:webHidden/>
              </w:rPr>
              <w:fldChar w:fldCharType="end"/>
            </w:r>
          </w:hyperlink>
        </w:p>
        <w:p w:rsidR="008A07F6" w:rsidRDefault="002D365D">
          <w:pPr>
            <w:pStyle w:val="TOC2"/>
            <w:rPr>
              <w:rFonts w:eastAsiaTheme="minorEastAsia"/>
              <w:sz w:val="22"/>
              <w:szCs w:val="22"/>
              <w:lang w:eastAsia="en-CA"/>
            </w:rPr>
          </w:pPr>
          <w:hyperlink w:anchor="_Toc466287427" w:history="1">
            <w:r w:rsidR="008A07F6" w:rsidRPr="00C7130C">
              <w:rPr>
                <w:rStyle w:val="Hyperlink"/>
              </w:rPr>
              <w:t>Information &amp; Communications</w:t>
            </w:r>
            <w:r w:rsidR="008A07F6">
              <w:rPr>
                <w:webHidden/>
              </w:rPr>
              <w:tab/>
            </w:r>
            <w:r w:rsidR="008A07F6">
              <w:rPr>
                <w:webHidden/>
              </w:rPr>
              <w:fldChar w:fldCharType="begin"/>
            </w:r>
            <w:r w:rsidR="008A07F6">
              <w:rPr>
                <w:webHidden/>
              </w:rPr>
              <w:instrText xml:space="preserve"> PAGEREF _Toc466287427 \h </w:instrText>
            </w:r>
            <w:r w:rsidR="008A07F6">
              <w:rPr>
                <w:webHidden/>
              </w:rPr>
            </w:r>
            <w:r w:rsidR="008A07F6">
              <w:rPr>
                <w:webHidden/>
              </w:rPr>
              <w:fldChar w:fldCharType="separate"/>
            </w:r>
            <w:r w:rsidR="00277BA5">
              <w:rPr>
                <w:webHidden/>
              </w:rPr>
              <w:t>11</w:t>
            </w:r>
            <w:r w:rsidR="008A07F6">
              <w:rPr>
                <w:webHidden/>
              </w:rPr>
              <w:fldChar w:fldCharType="end"/>
            </w:r>
          </w:hyperlink>
        </w:p>
        <w:p w:rsidR="008A07F6" w:rsidRDefault="002D365D">
          <w:pPr>
            <w:pStyle w:val="TOC3"/>
            <w:tabs>
              <w:tab w:val="right" w:leader="dot" w:pos="9350"/>
            </w:tabs>
            <w:rPr>
              <w:noProof/>
              <w:sz w:val="22"/>
              <w:lang w:eastAsia="en-CA"/>
            </w:rPr>
          </w:pPr>
          <w:hyperlink w:anchor="_Toc466287428" w:history="1">
            <w:r w:rsidR="008A07F6" w:rsidRPr="00C7130C">
              <w:rPr>
                <w:rStyle w:val="Hyperlink"/>
                <w:noProof/>
              </w:rPr>
              <w:t>Employment</w:t>
            </w:r>
            <w:r w:rsidR="008A07F6">
              <w:rPr>
                <w:noProof/>
                <w:webHidden/>
              </w:rPr>
              <w:tab/>
            </w:r>
            <w:r w:rsidR="008A07F6">
              <w:rPr>
                <w:noProof/>
                <w:webHidden/>
              </w:rPr>
              <w:fldChar w:fldCharType="begin"/>
            </w:r>
            <w:r w:rsidR="008A07F6">
              <w:rPr>
                <w:noProof/>
                <w:webHidden/>
              </w:rPr>
              <w:instrText xml:space="preserve"> PAGEREF _Toc466287428 \h </w:instrText>
            </w:r>
            <w:r w:rsidR="008A07F6">
              <w:rPr>
                <w:noProof/>
                <w:webHidden/>
              </w:rPr>
            </w:r>
            <w:r w:rsidR="008A07F6">
              <w:rPr>
                <w:noProof/>
                <w:webHidden/>
              </w:rPr>
              <w:fldChar w:fldCharType="separate"/>
            </w:r>
            <w:r w:rsidR="00277BA5">
              <w:rPr>
                <w:noProof/>
                <w:webHidden/>
              </w:rPr>
              <w:t>11</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29" w:history="1">
            <w:r w:rsidR="008A07F6" w:rsidRPr="00C7130C">
              <w:rPr>
                <w:rStyle w:val="Hyperlink"/>
                <w:noProof/>
              </w:rPr>
              <w:t>Built Environment</w:t>
            </w:r>
            <w:r w:rsidR="008A07F6">
              <w:rPr>
                <w:noProof/>
                <w:webHidden/>
              </w:rPr>
              <w:tab/>
            </w:r>
            <w:r w:rsidR="008A07F6">
              <w:rPr>
                <w:noProof/>
                <w:webHidden/>
              </w:rPr>
              <w:fldChar w:fldCharType="begin"/>
            </w:r>
            <w:r w:rsidR="008A07F6">
              <w:rPr>
                <w:noProof/>
                <w:webHidden/>
              </w:rPr>
              <w:instrText xml:space="preserve"> PAGEREF _Toc466287429 \h </w:instrText>
            </w:r>
            <w:r w:rsidR="008A07F6">
              <w:rPr>
                <w:noProof/>
                <w:webHidden/>
              </w:rPr>
            </w:r>
            <w:r w:rsidR="008A07F6">
              <w:rPr>
                <w:noProof/>
                <w:webHidden/>
              </w:rPr>
              <w:fldChar w:fldCharType="separate"/>
            </w:r>
            <w:r w:rsidR="00277BA5">
              <w:rPr>
                <w:noProof/>
                <w:webHidden/>
              </w:rPr>
              <w:t>11</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30" w:history="1">
            <w:r w:rsidR="008A07F6" w:rsidRPr="00C7130C">
              <w:rPr>
                <w:rStyle w:val="Hyperlink"/>
                <w:noProof/>
              </w:rPr>
              <w:t>Education, Training, &amp; Awareness</w:t>
            </w:r>
            <w:r w:rsidR="008A07F6">
              <w:rPr>
                <w:noProof/>
                <w:webHidden/>
              </w:rPr>
              <w:tab/>
            </w:r>
            <w:r w:rsidR="008A07F6">
              <w:rPr>
                <w:noProof/>
                <w:webHidden/>
              </w:rPr>
              <w:fldChar w:fldCharType="begin"/>
            </w:r>
            <w:r w:rsidR="008A07F6">
              <w:rPr>
                <w:noProof/>
                <w:webHidden/>
              </w:rPr>
              <w:instrText xml:space="preserve"> PAGEREF _Toc466287430 \h </w:instrText>
            </w:r>
            <w:r w:rsidR="008A07F6">
              <w:rPr>
                <w:noProof/>
                <w:webHidden/>
              </w:rPr>
            </w:r>
            <w:r w:rsidR="008A07F6">
              <w:rPr>
                <w:noProof/>
                <w:webHidden/>
              </w:rPr>
              <w:fldChar w:fldCharType="separate"/>
            </w:r>
            <w:r w:rsidR="00277BA5">
              <w:rPr>
                <w:noProof/>
                <w:webHidden/>
              </w:rPr>
              <w:t>12</w:t>
            </w:r>
            <w:r w:rsidR="008A07F6">
              <w:rPr>
                <w:noProof/>
                <w:webHidden/>
              </w:rPr>
              <w:fldChar w:fldCharType="end"/>
            </w:r>
          </w:hyperlink>
        </w:p>
        <w:p w:rsidR="008A07F6" w:rsidRDefault="002D365D">
          <w:pPr>
            <w:pStyle w:val="TOC1"/>
            <w:rPr>
              <w:b w:val="0"/>
              <w:sz w:val="22"/>
              <w:szCs w:val="22"/>
              <w:lang w:eastAsia="en-CA"/>
            </w:rPr>
          </w:pPr>
          <w:hyperlink w:anchor="_Toc466287431" w:history="1">
            <w:r w:rsidR="008A07F6" w:rsidRPr="00C7130C">
              <w:rPr>
                <w:rStyle w:val="Hyperlink"/>
              </w:rPr>
              <w:t>Section 3: Moving Forwards to 2025</w:t>
            </w:r>
            <w:r w:rsidR="008A07F6">
              <w:rPr>
                <w:webHidden/>
              </w:rPr>
              <w:tab/>
            </w:r>
            <w:r w:rsidR="008A07F6">
              <w:rPr>
                <w:webHidden/>
              </w:rPr>
              <w:fldChar w:fldCharType="begin"/>
            </w:r>
            <w:r w:rsidR="008A07F6">
              <w:rPr>
                <w:webHidden/>
              </w:rPr>
              <w:instrText xml:space="preserve"> PAGEREF _Toc466287431 \h </w:instrText>
            </w:r>
            <w:r w:rsidR="008A07F6">
              <w:rPr>
                <w:webHidden/>
              </w:rPr>
            </w:r>
            <w:r w:rsidR="008A07F6">
              <w:rPr>
                <w:webHidden/>
              </w:rPr>
              <w:fldChar w:fldCharType="separate"/>
            </w:r>
            <w:r w:rsidR="00277BA5">
              <w:rPr>
                <w:webHidden/>
              </w:rPr>
              <w:t>13</w:t>
            </w:r>
            <w:r w:rsidR="008A07F6">
              <w:rPr>
                <w:webHidden/>
              </w:rPr>
              <w:fldChar w:fldCharType="end"/>
            </w:r>
          </w:hyperlink>
        </w:p>
        <w:p w:rsidR="008A07F6" w:rsidRDefault="002D365D">
          <w:pPr>
            <w:pStyle w:val="TOC2"/>
            <w:rPr>
              <w:rFonts w:eastAsiaTheme="minorEastAsia"/>
              <w:sz w:val="22"/>
              <w:szCs w:val="22"/>
              <w:lang w:eastAsia="en-CA"/>
            </w:rPr>
          </w:pPr>
          <w:hyperlink w:anchor="_Toc466287432" w:history="1">
            <w:r w:rsidR="008A07F6" w:rsidRPr="00C7130C">
              <w:rPr>
                <w:rStyle w:val="Hyperlink"/>
              </w:rPr>
              <w:t>Campus Mobility Project</w:t>
            </w:r>
            <w:r w:rsidR="008A07F6">
              <w:rPr>
                <w:webHidden/>
              </w:rPr>
              <w:tab/>
            </w:r>
            <w:r w:rsidR="008A07F6">
              <w:rPr>
                <w:webHidden/>
              </w:rPr>
              <w:fldChar w:fldCharType="begin"/>
            </w:r>
            <w:r w:rsidR="008A07F6">
              <w:rPr>
                <w:webHidden/>
              </w:rPr>
              <w:instrText xml:space="preserve"> PAGEREF _Toc466287432 \h </w:instrText>
            </w:r>
            <w:r w:rsidR="008A07F6">
              <w:rPr>
                <w:webHidden/>
              </w:rPr>
            </w:r>
            <w:r w:rsidR="008A07F6">
              <w:rPr>
                <w:webHidden/>
              </w:rPr>
              <w:fldChar w:fldCharType="separate"/>
            </w:r>
            <w:r w:rsidR="00277BA5">
              <w:rPr>
                <w:webHidden/>
              </w:rPr>
              <w:t>13</w:t>
            </w:r>
            <w:r w:rsidR="008A07F6">
              <w:rPr>
                <w:webHidden/>
              </w:rPr>
              <w:fldChar w:fldCharType="end"/>
            </w:r>
          </w:hyperlink>
        </w:p>
        <w:p w:rsidR="008A07F6" w:rsidRDefault="002D365D">
          <w:pPr>
            <w:pStyle w:val="TOC2"/>
            <w:rPr>
              <w:rFonts w:eastAsiaTheme="minorEastAsia"/>
              <w:sz w:val="22"/>
              <w:szCs w:val="22"/>
              <w:lang w:eastAsia="en-CA"/>
            </w:rPr>
          </w:pPr>
          <w:hyperlink w:anchor="_Toc466287433" w:history="1">
            <w:r w:rsidR="008A07F6" w:rsidRPr="00C7130C">
              <w:rPr>
                <w:rStyle w:val="Hyperlink"/>
              </w:rPr>
              <w:t>Consulting Persons with Disabilities and the Broader Community</w:t>
            </w:r>
            <w:r w:rsidR="008A07F6">
              <w:rPr>
                <w:webHidden/>
              </w:rPr>
              <w:tab/>
            </w:r>
            <w:r w:rsidR="008A07F6">
              <w:rPr>
                <w:webHidden/>
              </w:rPr>
              <w:fldChar w:fldCharType="begin"/>
            </w:r>
            <w:r w:rsidR="008A07F6">
              <w:rPr>
                <w:webHidden/>
              </w:rPr>
              <w:instrText xml:space="preserve"> PAGEREF _Toc466287433 \h </w:instrText>
            </w:r>
            <w:r w:rsidR="008A07F6">
              <w:rPr>
                <w:webHidden/>
              </w:rPr>
            </w:r>
            <w:r w:rsidR="008A07F6">
              <w:rPr>
                <w:webHidden/>
              </w:rPr>
              <w:fldChar w:fldCharType="separate"/>
            </w:r>
            <w:r w:rsidR="00277BA5">
              <w:rPr>
                <w:webHidden/>
              </w:rPr>
              <w:t>13</w:t>
            </w:r>
            <w:r w:rsidR="008A07F6">
              <w:rPr>
                <w:webHidden/>
              </w:rPr>
              <w:fldChar w:fldCharType="end"/>
            </w:r>
          </w:hyperlink>
        </w:p>
        <w:p w:rsidR="008A07F6" w:rsidRDefault="002D365D">
          <w:pPr>
            <w:pStyle w:val="TOC2"/>
            <w:rPr>
              <w:rFonts w:eastAsiaTheme="minorEastAsia"/>
              <w:sz w:val="22"/>
              <w:szCs w:val="22"/>
              <w:lang w:eastAsia="en-CA"/>
            </w:rPr>
          </w:pPr>
          <w:hyperlink w:anchor="_Toc466287434" w:history="1">
            <w:r w:rsidR="008A07F6" w:rsidRPr="00C7130C">
              <w:rPr>
                <w:rStyle w:val="Hyperlink"/>
              </w:rPr>
              <w:t>Design of Public Space and the Built Environment</w:t>
            </w:r>
            <w:r w:rsidR="008A07F6">
              <w:rPr>
                <w:webHidden/>
              </w:rPr>
              <w:tab/>
            </w:r>
            <w:r w:rsidR="008A07F6">
              <w:rPr>
                <w:webHidden/>
              </w:rPr>
              <w:fldChar w:fldCharType="begin"/>
            </w:r>
            <w:r w:rsidR="008A07F6">
              <w:rPr>
                <w:webHidden/>
              </w:rPr>
              <w:instrText xml:space="preserve"> PAGEREF _Toc466287434 \h </w:instrText>
            </w:r>
            <w:r w:rsidR="008A07F6">
              <w:rPr>
                <w:webHidden/>
              </w:rPr>
            </w:r>
            <w:r w:rsidR="008A07F6">
              <w:rPr>
                <w:webHidden/>
              </w:rPr>
              <w:fldChar w:fldCharType="separate"/>
            </w:r>
            <w:r w:rsidR="00277BA5">
              <w:rPr>
                <w:webHidden/>
              </w:rPr>
              <w:t>14</w:t>
            </w:r>
            <w:r w:rsidR="008A07F6">
              <w:rPr>
                <w:webHidden/>
              </w:rPr>
              <w:fldChar w:fldCharType="end"/>
            </w:r>
          </w:hyperlink>
        </w:p>
        <w:p w:rsidR="008A07F6" w:rsidRDefault="002D365D">
          <w:pPr>
            <w:pStyle w:val="TOC3"/>
            <w:tabs>
              <w:tab w:val="right" w:leader="dot" w:pos="9350"/>
            </w:tabs>
            <w:rPr>
              <w:noProof/>
              <w:sz w:val="22"/>
              <w:lang w:eastAsia="en-CA"/>
            </w:rPr>
          </w:pPr>
          <w:hyperlink w:anchor="_Toc466287435" w:history="1">
            <w:r w:rsidR="008A07F6" w:rsidRPr="00C7130C">
              <w:rPr>
                <w:rStyle w:val="Hyperlink"/>
                <w:noProof/>
              </w:rPr>
              <w:t>Queen’s Facility Accessibility Design Standard (QFADS)</w:t>
            </w:r>
            <w:r w:rsidR="008A07F6">
              <w:rPr>
                <w:noProof/>
                <w:webHidden/>
              </w:rPr>
              <w:tab/>
            </w:r>
            <w:r w:rsidR="008A07F6">
              <w:rPr>
                <w:noProof/>
                <w:webHidden/>
              </w:rPr>
              <w:fldChar w:fldCharType="begin"/>
            </w:r>
            <w:r w:rsidR="008A07F6">
              <w:rPr>
                <w:noProof/>
                <w:webHidden/>
              </w:rPr>
              <w:instrText xml:space="preserve"> PAGEREF _Toc466287435 \h </w:instrText>
            </w:r>
            <w:r w:rsidR="008A07F6">
              <w:rPr>
                <w:noProof/>
                <w:webHidden/>
              </w:rPr>
            </w:r>
            <w:r w:rsidR="008A07F6">
              <w:rPr>
                <w:noProof/>
                <w:webHidden/>
              </w:rPr>
              <w:fldChar w:fldCharType="separate"/>
            </w:r>
            <w:r w:rsidR="00277BA5">
              <w:rPr>
                <w:noProof/>
                <w:webHidden/>
              </w:rPr>
              <w:t>14</w:t>
            </w:r>
            <w:r w:rsidR="008A07F6">
              <w:rPr>
                <w:noProof/>
                <w:webHidden/>
              </w:rPr>
              <w:fldChar w:fldCharType="end"/>
            </w:r>
          </w:hyperlink>
        </w:p>
        <w:p w:rsidR="008A07F6" w:rsidRDefault="002D365D">
          <w:pPr>
            <w:pStyle w:val="TOC2"/>
            <w:rPr>
              <w:rFonts w:eastAsiaTheme="minorEastAsia"/>
              <w:sz w:val="22"/>
              <w:szCs w:val="22"/>
              <w:lang w:eastAsia="en-CA"/>
            </w:rPr>
          </w:pPr>
          <w:hyperlink w:anchor="_Toc466287436" w:history="1">
            <w:r w:rsidR="008A07F6" w:rsidRPr="00C7130C">
              <w:rPr>
                <w:rStyle w:val="Hyperlink"/>
              </w:rPr>
              <w:t>Queen’s Libraries</w:t>
            </w:r>
            <w:r w:rsidR="008A07F6">
              <w:rPr>
                <w:webHidden/>
              </w:rPr>
              <w:tab/>
            </w:r>
            <w:r w:rsidR="008A07F6">
              <w:rPr>
                <w:webHidden/>
              </w:rPr>
              <w:fldChar w:fldCharType="begin"/>
            </w:r>
            <w:r w:rsidR="008A07F6">
              <w:rPr>
                <w:webHidden/>
              </w:rPr>
              <w:instrText xml:space="preserve"> PAGEREF _Toc466287436 \h </w:instrText>
            </w:r>
            <w:r w:rsidR="008A07F6">
              <w:rPr>
                <w:webHidden/>
              </w:rPr>
            </w:r>
            <w:r w:rsidR="008A07F6">
              <w:rPr>
                <w:webHidden/>
              </w:rPr>
              <w:fldChar w:fldCharType="separate"/>
            </w:r>
            <w:r w:rsidR="00277BA5">
              <w:rPr>
                <w:webHidden/>
              </w:rPr>
              <w:t>14</w:t>
            </w:r>
            <w:r w:rsidR="008A07F6">
              <w:rPr>
                <w:webHidden/>
              </w:rPr>
              <w:fldChar w:fldCharType="end"/>
            </w:r>
          </w:hyperlink>
        </w:p>
        <w:p w:rsidR="008A07F6" w:rsidRDefault="002D365D">
          <w:pPr>
            <w:pStyle w:val="TOC2"/>
            <w:rPr>
              <w:rFonts w:eastAsiaTheme="minorEastAsia"/>
              <w:sz w:val="22"/>
              <w:szCs w:val="22"/>
              <w:lang w:eastAsia="en-CA"/>
            </w:rPr>
          </w:pPr>
          <w:hyperlink w:anchor="_Toc466287437" w:history="1">
            <w:r w:rsidR="008A07F6" w:rsidRPr="00C7130C">
              <w:rPr>
                <w:rStyle w:val="Hyperlink"/>
              </w:rPr>
              <w:t>Information &amp; Communications – WCAG 2.0 Level AA Compliance (2021)</w:t>
            </w:r>
            <w:r w:rsidR="008A07F6">
              <w:rPr>
                <w:webHidden/>
              </w:rPr>
              <w:tab/>
            </w:r>
            <w:r w:rsidR="008A07F6">
              <w:rPr>
                <w:webHidden/>
              </w:rPr>
              <w:fldChar w:fldCharType="begin"/>
            </w:r>
            <w:r w:rsidR="008A07F6">
              <w:rPr>
                <w:webHidden/>
              </w:rPr>
              <w:instrText xml:space="preserve"> PAGEREF _Toc466287437 \h </w:instrText>
            </w:r>
            <w:r w:rsidR="008A07F6">
              <w:rPr>
                <w:webHidden/>
              </w:rPr>
            </w:r>
            <w:r w:rsidR="008A07F6">
              <w:rPr>
                <w:webHidden/>
              </w:rPr>
              <w:fldChar w:fldCharType="separate"/>
            </w:r>
            <w:r w:rsidR="00277BA5">
              <w:rPr>
                <w:webHidden/>
              </w:rPr>
              <w:t>14</w:t>
            </w:r>
            <w:r w:rsidR="008A07F6">
              <w:rPr>
                <w:webHidden/>
              </w:rPr>
              <w:fldChar w:fldCharType="end"/>
            </w:r>
          </w:hyperlink>
        </w:p>
        <w:p w:rsidR="008A07F6" w:rsidRDefault="002D365D">
          <w:pPr>
            <w:pStyle w:val="TOC2"/>
            <w:rPr>
              <w:rFonts w:eastAsiaTheme="minorEastAsia"/>
              <w:sz w:val="22"/>
              <w:szCs w:val="22"/>
              <w:lang w:eastAsia="en-CA"/>
            </w:rPr>
          </w:pPr>
          <w:hyperlink w:anchor="_Toc466287438" w:history="1">
            <w:r w:rsidR="008A07F6" w:rsidRPr="00C7130C">
              <w:rPr>
                <w:rStyle w:val="Hyperlink"/>
              </w:rPr>
              <w:t>Where Next?</w:t>
            </w:r>
            <w:r w:rsidR="008A07F6">
              <w:rPr>
                <w:webHidden/>
              </w:rPr>
              <w:tab/>
            </w:r>
            <w:r w:rsidR="008A07F6">
              <w:rPr>
                <w:webHidden/>
              </w:rPr>
              <w:fldChar w:fldCharType="begin"/>
            </w:r>
            <w:r w:rsidR="008A07F6">
              <w:rPr>
                <w:webHidden/>
              </w:rPr>
              <w:instrText xml:space="preserve"> PAGEREF _Toc466287438 \h </w:instrText>
            </w:r>
            <w:r w:rsidR="008A07F6">
              <w:rPr>
                <w:webHidden/>
              </w:rPr>
            </w:r>
            <w:r w:rsidR="008A07F6">
              <w:rPr>
                <w:webHidden/>
              </w:rPr>
              <w:fldChar w:fldCharType="separate"/>
            </w:r>
            <w:r w:rsidR="00277BA5">
              <w:rPr>
                <w:webHidden/>
              </w:rPr>
              <w:t>15</w:t>
            </w:r>
            <w:r w:rsidR="008A07F6">
              <w:rPr>
                <w:webHidden/>
              </w:rPr>
              <w:fldChar w:fldCharType="end"/>
            </w:r>
          </w:hyperlink>
        </w:p>
        <w:p w:rsidR="008A07F6" w:rsidRDefault="002D365D">
          <w:pPr>
            <w:pStyle w:val="TOC3"/>
            <w:tabs>
              <w:tab w:val="right" w:leader="dot" w:pos="9350"/>
            </w:tabs>
            <w:rPr>
              <w:noProof/>
              <w:sz w:val="22"/>
              <w:lang w:eastAsia="en-CA"/>
            </w:rPr>
          </w:pPr>
          <w:hyperlink w:anchor="_Toc466287439" w:history="1">
            <w:r w:rsidR="008A07F6" w:rsidRPr="00C7130C">
              <w:rPr>
                <w:rStyle w:val="Hyperlink"/>
                <w:noProof/>
              </w:rPr>
              <w:t>AODA Review – Recommends Creating New AODA Standards</w:t>
            </w:r>
            <w:r w:rsidR="008A07F6">
              <w:rPr>
                <w:noProof/>
                <w:webHidden/>
              </w:rPr>
              <w:tab/>
            </w:r>
            <w:r w:rsidR="008A07F6">
              <w:rPr>
                <w:noProof/>
                <w:webHidden/>
              </w:rPr>
              <w:fldChar w:fldCharType="begin"/>
            </w:r>
            <w:r w:rsidR="008A07F6">
              <w:rPr>
                <w:noProof/>
                <w:webHidden/>
              </w:rPr>
              <w:instrText xml:space="preserve"> PAGEREF _Toc466287439 \h </w:instrText>
            </w:r>
            <w:r w:rsidR="008A07F6">
              <w:rPr>
                <w:noProof/>
                <w:webHidden/>
              </w:rPr>
            </w:r>
            <w:r w:rsidR="008A07F6">
              <w:rPr>
                <w:noProof/>
                <w:webHidden/>
              </w:rPr>
              <w:fldChar w:fldCharType="separate"/>
            </w:r>
            <w:r w:rsidR="00277BA5">
              <w:rPr>
                <w:noProof/>
                <w:webHidden/>
              </w:rPr>
              <w:t>15</w:t>
            </w:r>
            <w:r w:rsidR="008A07F6">
              <w:rPr>
                <w:noProof/>
                <w:webHidden/>
              </w:rPr>
              <w:fldChar w:fldCharType="end"/>
            </w:r>
          </w:hyperlink>
        </w:p>
        <w:p w:rsidR="008A07F6" w:rsidRDefault="002D365D">
          <w:pPr>
            <w:pStyle w:val="TOC3"/>
            <w:tabs>
              <w:tab w:val="right" w:leader="dot" w:pos="9350"/>
            </w:tabs>
            <w:rPr>
              <w:noProof/>
              <w:sz w:val="22"/>
              <w:lang w:eastAsia="en-CA"/>
            </w:rPr>
          </w:pPr>
          <w:hyperlink w:anchor="_Toc466287440" w:history="1">
            <w:r w:rsidR="008A07F6" w:rsidRPr="00C7130C">
              <w:rPr>
                <w:rStyle w:val="Hyperlink"/>
                <w:noProof/>
              </w:rPr>
              <w:t>Canadians with Disabilities Act</w:t>
            </w:r>
            <w:r w:rsidR="008A07F6">
              <w:rPr>
                <w:noProof/>
                <w:webHidden/>
              </w:rPr>
              <w:tab/>
            </w:r>
            <w:r w:rsidR="008A07F6">
              <w:rPr>
                <w:noProof/>
                <w:webHidden/>
              </w:rPr>
              <w:fldChar w:fldCharType="begin"/>
            </w:r>
            <w:r w:rsidR="008A07F6">
              <w:rPr>
                <w:noProof/>
                <w:webHidden/>
              </w:rPr>
              <w:instrText xml:space="preserve"> PAGEREF _Toc466287440 \h </w:instrText>
            </w:r>
            <w:r w:rsidR="008A07F6">
              <w:rPr>
                <w:noProof/>
                <w:webHidden/>
              </w:rPr>
            </w:r>
            <w:r w:rsidR="008A07F6">
              <w:rPr>
                <w:noProof/>
                <w:webHidden/>
              </w:rPr>
              <w:fldChar w:fldCharType="separate"/>
            </w:r>
            <w:r w:rsidR="00277BA5">
              <w:rPr>
                <w:noProof/>
                <w:webHidden/>
              </w:rPr>
              <w:t>15</w:t>
            </w:r>
            <w:r w:rsidR="008A07F6">
              <w:rPr>
                <w:noProof/>
                <w:webHidden/>
              </w:rPr>
              <w:fldChar w:fldCharType="end"/>
            </w:r>
          </w:hyperlink>
        </w:p>
        <w:p w:rsidR="008A07F6" w:rsidRDefault="002D365D">
          <w:pPr>
            <w:pStyle w:val="TOC2"/>
            <w:rPr>
              <w:rFonts w:eastAsiaTheme="minorEastAsia"/>
              <w:sz w:val="22"/>
              <w:szCs w:val="22"/>
              <w:lang w:eastAsia="en-CA"/>
            </w:rPr>
          </w:pPr>
          <w:hyperlink w:anchor="_Toc466287441" w:history="1">
            <w:r w:rsidR="008A07F6" w:rsidRPr="00C7130C">
              <w:rPr>
                <w:rStyle w:val="Hyperlink"/>
              </w:rPr>
              <w:t>Queen’s University’s Comprehensive Strategic Framework for Accessibility</w:t>
            </w:r>
            <w:r w:rsidR="008A07F6">
              <w:rPr>
                <w:webHidden/>
              </w:rPr>
              <w:tab/>
            </w:r>
            <w:r w:rsidR="008A07F6">
              <w:rPr>
                <w:webHidden/>
              </w:rPr>
              <w:fldChar w:fldCharType="begin"/>
            </w:r>
            <w:r w:rsidR="008A07F6">
              <w:rPr>
                <w:webHidden/>
              </w:rPr>
              <w:instrText xml:space="preserve"> PAGEREF _Toc466287441 \h </w:instrText>
            </w:r>
            <w:r w:rsidR="008A07F6">
              <w:rPr>
                <w:webHidden/>
              </w:rPr>
            </w:r>
            <w:r w:rsidR="008A07F6">
              <w:rPr>
                <w:webHidden/>
              </w:rPr>
              <w:fldChar w:fldCharType="separate"/>
            </w:r>
            <w:r w:rsidR="00277BA5">
              <w:rPr>
                <w:webHidden/>
              </w:rPr>
              <w:t>15</w:t>
            </w:r>
            <w:r w:rsidR="008A07F6">
              <w:rPr>
                <w:webHidden/>
              </w:rPr>
              <w:fldChar w:fldCharType="end"/>
            </w:r>
          </w:hyperlink>
        </w:p>
        <w:p w:rsidR="008A07F6" w:rsidRDefault="002D365D">
          <w:pPr>
            <w:pStyle w:val="TOC2"/>
            <w:rPr>
              <w:rFonts w:eastAsiaTheme="minorEastAsia"/>
              <w:sz w:val="22"/>
              <w:szCs w:val="22"/>
              <w:lang w:eastAsia="en-CA"/>
            </w:rPr>
          </w:pPr>
          <w:hyperlink w:anchor="_Toc466287442" w:history="1">
            <w:r w:rsidR="008A07F6" w:rsidRPr="00C7130C">
              <w:rPr>
                <w:rStyle w:val="Hyperlink"/>
              </w:rPr>
              <w:t>Queen’s Strategic Roadmap for Achieving Accessibility</w:t>
            </w:r>
            <w:r w:rsidR="008A07F6">
              <w:rPr>
                <w:webHidden/>
              </w:rPr>
              <w:tab/>
            </w:r>
            <w:r w:rsidR="008A07F6">
              <w:rPr>
                <w:webHidden/>
              </w:rPr>
              <w:fldChar w:fldCharType="begin"/>
            </w:r>
            <w:r w:rsidR="008A07F6">
              <w:rPr>
                <w:webHidden/>
              </w:rPr>
              <w:instrText xml:space="preserve"> PAGEREF _Toc466287442 \h </w:instrText>
            </w:r>
            <w:r w:rsidR="008A07F6">
              <w:rPr>
                <w:webHidden/>
              </w:rPr>
            </w:r>
            <w:r w:rsidR="008A07F6">
              <w:rPr>
                <w:webHidden/>
              </w:rPr>
              <w:fldChar w:fldCharType="separate"/>
            </w:r>
            <w:r w:rsidR="00277BA5">
              <w:rPr>
                <w:webHidden/>
              </w:rPr>
              <w:t>16</w:t>
            </w:r>
            <w:r w:rsidR="008A07F6">
              <w:rPr>
                <w:webHidden/>
              </w:rPr>
              <w:fldChar w:fldCharType="end"/>
            </w:r>
          </w:hyperlink>
        </w:p>
        <w:p w:rsidR="008A07F6" w:rsidRDefault="002D365D">
          <w:pPr>
            <w:pStyle w:val="TOC1"/>
            <w:rPr>
              <w:b w:val="0"/>
              <w:sz w:val="22"/>
              <w:szCs w:val="22"/>
              <w:lang w:eastAsia="en-CA"/>
            </w:rPr>
          </w:pPr>
          <w:hyperlink w:anchor="_Toc466287443" w:history="1">
            <w:r w:rsidR="008A07F6" w:rsidRPr="00C7130C">
              <w:rPr>
                <w:rStyle w:val="Hyperlink"/>
              </w:rPr>
              <w:t>Appendix: Guiding Legislation</w:t>
            </w:r>
            <w:r w:rsidR="008A07F6">
              <w:rPr>
                <w:webHidden/>
              </w:rPr>
              <w:tab/>
            </w:r>
            <w:r w:rsidR="008A07F6">
              <w:rPr>
                <w:webHidden/>
              </w:rPr>
              <w:fldChar w:fldCharType="begin"/>
            </w:r>
            <w:r w:rsidR="008A07F6">
              <w:rPr>
                <w:webHidden/>
              </w:rPr>
              <w:instrText xml:space="preserve"> PAGEREF _Toc466287443 \h </w:instrText>
            </w:r>
            <w:r w:rsidR="008A07F6">
              <w:rPr>
                <w:webHidden/>
              </w:rPr>
            </w:r>
            <w:r w:rsidR="008A07F6">
              <w:rPr>
                <w:webHidden/>
              </w:rPr>
              <w:fldChar w:fldCharType="separate"/>
            </w:r>
            <w:r w:rsidR="00277BA5">
              <w:rPr>
                <w:webHidden/>
              </w:rPr>
              <w:t>18</w:t>
            </w:r>
            <w:r w:rsidR="008A07F6">
              <w:rPr>
                <w:webHidden/>
              </w:rPr>
              <w:fldChar w:fldCharType="end"/>
            </w:r>
          </w:hyperlink>
        </w:p>
        <w:p w:rsidR="003432D8" w:rsidRPr="009F0E4B" w:rsidRDefault="003432D8">
          <w:pPr>
            <w:rPr>
              <w:rFonts w:cstheme="minorHAnsi"/>
            </w:rPr>
          </w:pPr>
          <w:r w:rsidRPr="009F0E4B">
            <w:rPr>
              <w:rFonts w:cstheme="minorHAnsi"/>
              <w:b/>
              <w:bCs/>
              <w:noProof/>
            </w:rPr>
            <w:fldChar w:fldCharType="end"/>
          </w:r>
        </w:p>
      </w:sdtContent>
    </w:sdt>
    <w:p w:rsidR="00F329B7" w:rsidRDefault="00F329B7" w:rsidP="00463865">
      <w:pPr>
        <w:rPr>
          <w:rFonts w:cstheme="minorHAnsi"/>
          <w:szCs w:val="24"/>
        </w:rPr>
        <w:sectPr w:rsidR="00F329B7" w:rsidSect="00AC5668">
          <w:headerReference w:type="default" r:id="rId15"/>
          <w:pgSz w:w="12240" w:h="15840"/>
          <w:pgMar w:top="1440" w:right="1440" w:bottom="1440" w:left="1440" w:header="708" w:footer="708" w:gutter="0"/>
          <w:pgNumType w:start="1"/>
          <w:cols w:space="708"/>
          <w:docGrid w:linePitch="360"/>
        </w:sectPr>
      </w:pPr>
    </w:p>
    <w:p w:rsidR="00A77653" w:rsidRPr="009F0E4B" w:rsidRDefault="00A45377" w:rsidP="0057695F">
      <w:pPr>
        <w:pStyle w:val="Heading1"/>
        <w:rPr>
          <w:rFonts w:asciiTheme="minorHAnsi" w:hAnsiTheme="minorHAnsi" w:cstheme="minorHAnsi"/>
        </w:rPr>
      </w:pPr>
      <w:bookmarkStart w:id="0" w:name="_Toc466287409"/>
      <w:r>
        <w:rPr>
          <w:rFonts w:asciiTheme="minorHAnsi" w:hAnsiTheme="minorHAnsi" w:cstheme="minorHAnsi"/>
        </w:rPr>
        <w:lastRenderedPageBreak/>
        <w:t>Introduction and Background</w:t>
      </w:r>
      <w:bookmarkEnd w:id="0"/>
    </w:p>
    <w:p w:rsidR="00321FE6" w:rsidRPr="009F0E4B" w:rsidRDefault="00C1192C" w:rsidP="00AF24AD">
      <w:pPr>
        <w:jc w:val="both"/>
        <w:rPr>
          <w:rFonts w:cstheme="minorHAnsi"/>
          <w:b/>
          <w:szCs w:val="24"/>
        </w:rPr>
      </w:pPr>
      <w:r>
        <w:rPr>
          <w:rFonts w:cstheme="minorHAnsi"/>
          <w:szCs w:val="24"/>
        </w:rPr>
        <w:t>S</w:t>
      </w:r>
      <w:r w:rsidRPr="009F0E4B">
        <w:rPr>
          <w:rFonts w:cstheme="minorHAnsi"/>
          <w:szCs w:val="24"/>
        </w:rPr>
        <w:t xml:space="preserve">ituated on traditional </w:t>
      </w:r>
      <w:proofErr w:type="spellStart"/>
      <w:r w:rsidRPr="009F0E4B">
        <w:rPr>
          <w:rFonts w:cstheme="minorHAnsi"/>
          <w:szCs w:val="24"/>
        </w:rPr>
        <w:t>Anishinabe</w:t>
      </w:r>
      <w:proofErr w:type="spellEnd"/>
      <w:r w:rsidRPr="009F0E4B">
        <w:rPr>
          <w:rFonts w:cstheme="minorHAnsi"/>
          <w:szCs w:val="24"/>
        </w:rPr>
        <w:t xml:space="preserve"> and Haudenosaunee territorie</w:t>
      </w:r>
      <w:r>
        <w:rPr>
          <w:rFonts w:cstheme="minorHAnsi"/>
          <w:szCs w:val="24"/>
        </w:rPr>
        <w:t>s,</w:t>
      </w:r>
      <w:r w:rsidRPr="009F0E4B">
        <w:rPr>
          <w:rFonts w:cstheme="minorHAnsi"/>
          <w:color w:val="000000"/>
          <w:szCs w:val="24"/>
          <w:shd w:val="clear" w:color="auto" w:fill="FFFFFF"/>
        </w:rPr>
        <w:t xml:space="preserve"> </w:t>
      </w:r>
      <w:r w:rsidR="00321FE6" w:rsidRPr="009F0E4B">
        <w:rPr>
          <w:rFonts w:cstheme="minorHAnsi"/>
          <w:color w:val="000000"/>
          <w:szCs w:val="24"/>
          <w:shd w:val="clear" w:color="auto" w:fill="FFFFFF"/>
        </w:rPr>
        <w:t>Queen’s University is a community</w:t>
      </w:r>
      <w:r w:rsidR="00236A13">
        <w:rPr>
          <w:rFonts w:cstheme="minorHAnsi"/>
          <w:color w:val="000000"/>
          <w:szCs w:val="24"/>
          <w:shd w:val="clear" w:color="auto" w:fill="FFFFFF"/>
        </w:rPr>
        <w:t xml:space="preserve"> with</w:t>
      </w:r>
      <w:r w:rsidR="00CB0F6A">
        <w:rPr>
          <w:rFonts w:cstheme="minorHAnsi"/>
          <w:color w:val="000000"/>
          <w:szCs w:val="24"/>
          <w:shd w:val="clear" w:color="auto" w:fill="FFFFFF"/>
        </w:rPr>
        <w:t xml:space="preserve"> 175</w:t>
      </w:r>
      <w:r w:rsidR="00321FE6" w:rsidRPr="009F0E4B">
        <w:rPr>
          <w:rFonts w:cstheme="minorHAnsi"/>
          <w:color w:val="000000"/>
          <w:szCs w:val="24"/>
          <w:shd w:val="clear" w:color="auto" w:fill="FFFFFF"/>
        </w:rPr>
        <w:t xml:space="preserve"> years of tradition, academic excellence, research, and </w:t>
      </w:r>
      <w:r w:rsidR="00236A13">
        <w:rPr>
          <w:rFonts w:cstheme="minorHAnsi"/>
          <w:color w:val="000000"/>
          <w:szCs w:val="24"/>
          <w:shd w:val="clear" w:color="auto" w:fill="FFFFFF"/>
        </w:rPr>
        <w:t xml:space="preserve">a </w:t>
      </w:r>
      <w:r w:rsidR="00321FE6" w:rsidRPr="009F0E4B">
        <w:rPr>
          <w:rFonts w:cstheme="minorHAnsi"/>
          <w:color w:val="000000"/>
          <w:szCs w:val="24"/>
          <w:shd w:val="clear" w:color="auto" w:fill="FFFFFF"/>
        </w:rPr>
        <w:t xml:space="preserve">beautiful waterfront campus made of limestone buildings and modern facilities. </w:t>
      </w:r>
      <w:proofErr w:type="gramStart"/>
      <w:r w:rsidR="00321FE6" w:rsidRPr="009F0E4B">
        <w:rPr>
          <w:rFonts w:cstheme="minorHAnsi"/>
          <w:color w:val="000000"/>
          <w:szCs w:val="24"/>
          <w:shd w:val="clear" w:color="auto" w:fill="FFFFFF"/>
        </w:rPr>
        <w:t>But</w:t>
      </w:r>
      <w:proofErr w:type="gramEnd"/>
      <w:r w:rsidR="00321FE6" w:rsidRPr="009F0E4B">
        <w:rPr>
          <w:rFonts w:cstheme="minorHAnsi"/>
          <w:color w:val="000000"/>
          <w:szCs w:val="24"/>
          <w:shd w:val="clear" w:color="auto" w:fill="FFFFFF"/>
        </w:rPr>
        <w:t xml:space="preserve"> more than anything Queen’s is people. We are researchers, scholars, artists, professors and students with an ambitious spirit who want to develop ideas that can</w:t>
      </w:r>
      <w:r w:rsidR="00A84D1D">
        <w:rPr>
          <w:rFonts w:cstheme="minorHAnsi"/>
          <w:color w:val="000000"/>
          <w:szCs w:val="24"/>
          <w:shd w:val="clear" w:color="auto" w:fill="FFFFFF"/>
        </w:rPr>
        <w:t xml:space="preserve"> make a difference in the world</w:t>
      </w:r>
      <w:proofErr w:type="gramStart"/>
      <w:r w:rsidR="00A84D1D">
        <w:rPr>
          <w:rFonts w:cstheme="minorHAnsi"/>
          <w:color w:val="000000"/>
          <w:szCs w:val="24"/>
          <w:shd w:val="clear" w:color="auto" w:fill="FFFFFF"/>
        </w:rPr>
        <w:t>;</w:t>
      </w:r>
      <w:proofErr w:type="gramEnd"/>
      <w:r w:rsidR="00A84D1D">
        <w:rPr>
          <w:rFonts w:cstheme="minorHAnsi"/>
          <w:color w:val="000000"/>
          <w:szCs w:val="24"/>
          <w:shd w:val="clear" w:color="auto" w:fill="FFFFFF"/>
        </w:rPr>
        <w:t xml:space="preserve"> p</w:t>
      </w:r>
      <w:r w:rsidR="00321FE6" w:rsidRPr="009F0E4B">
        <w:rPr>
          <w:rFonts w:cstheme="minorHAnsi"/>
          <w:color w:val="000000"/>
          <w:szCs w:val="24"/>
          <w:shd w:val="clear" w:color="auto" w:fill="FFFFFF"/>
        </w:rPr>
        <w:t>eople who imagine together what the future could be and work together to realize it.</w:t>
      </w:r>
    </w:p>
    <w:p w:rsidR="00AF24AD" w:rsidRPr="009F0E4B" w:rsidRDefault="00AF24AD" w:rsidP="00AF24AD">
      <w:pPr>
        <w:jc w:val="both"/>
        <w:rPr>
          <w:rFonts w:cstheme="minorHAnsi"/>
          <w:szCs w:val="24"/>
        </w:rPr>
      </w:pPr>
      <w:proofErr w:type="gramStart"/>
      <w:r w:rsidRPr="009F0E4B">
        <w:rPr>
          <w:rFonts w:cstheme="minorHAnsi"/>
          <w:color w:val="000000"/>
          <w:szCs w:val="24"/>
          <w:shd w:val="clear" w:color="auto" w:fill="FFFFFF"/>
        </w:rPr>
        <w:t>Queen’s is one of Canada’s oldest degree-granting institutions, and has influenced Canadian higher education since 1841 when it was established by Royal Charter of Queen Victoria.</w:t>
      </w:r>
      <w:proofErr w:type="gramEnd"/>
      <w:r w:rsidRPr="009F0E4B">
        <w:rPr>
          <w:rFonts w:cstheme="minorHAnsi"/>
          <w:color w:val="000000"/>
          <w:szCs w:val="24"/>
          <w:shd w:val="clear" w:color="auto" w:fill="FFFFFF"/>
        </w:rPr>
        <w:t xml:space="preserve"> Located in Kingston, Ontario, Canada, it is a mid-sized university with several</w:t>
      </w:r>
      <w:r w:rsidRPr="009F0E4B">
        <w:rPr>
          <w:rStyle w:val="apple-converted-space"/>
          <w:rFonts w:cstheme="minorHAnsi"/>
          <w:color w:val="000000"/>
          <w:szCs w:val="24"/>
          <w:shd w:val="clear" w:color="auto" w:fill="FFFFFF"/>
        </w:rPr>
        <w:t> </w:t>
      </w:r>
      <w:hyperlink r:id="rId16" w:history="1">
        <w:r w:rsidRPr="000346D6">
          <w:rPr>
            <w:rStyle w:val="Hyperlink"/>
          </w:rPr>
          <w:t>faculties, colleges and professional schools</w:t>
        </w:r>
      </w:hyperlink>
      <w:r w:rsidRPr="009F0E4B">
        <w:rPr>
          <w:rFonts w:cstheme="minorHAnsi"/>
          <w:color w:val="000000"/>
          <w:szCs w:val="24"/>
          <w:shd w:val="clear" w:color="auto" w:fill="FFFFFF"/>
        </w:rPr>
        <w:t>, as well as the</w:t>
      </w:r>
      <w:r w:rsidRPr="009F0E4B">
        <w:rPr>
          <w:rStyle w:val="apple-converted-space"/>
          <w:rFonts w:cstheme="minorHAnsi"/>
          <w:color w:val="000000"/>
          <w:szCs w:val="24"/>
          <w:shd w:val="clear" w:color="auto" w:fill="FFFFFF"/>
        </w:rPr>
        <w:t> </w:t>
      </w:r>
      <w:hyperlink r:id="rId17" w:history="1">
        <w:r w:rsidRPr="000346D6">
          <w:rPr>
            <w:rStyle w:val="Hyperlink"/>
          </w:rPr>
          <w:t>Bader International Study Centre</w:t>
        </w:r>
      </w:hyperlink>
      <w:r w:rsidRPr="009F0E4B">
        <w:rPr>
          <w:rStyle w:val="apple-converted-space"/>
          <w:rFonts w:cstheme="minorHAnsi"/>
          <w:color w:val="000000"/>
          <w:szCs w:val="24"/>
          <w:shd w:val="clear" w:color="auto" w:fill="FFFFFF"/>
        </w:rPr>
        <w:t> </w:t>
      </w:r>
      <w:r w:rsidRPr="009F0E4B">
        <w:rPr>
          <w:rFonts w:cstheme="minorHAnsi"/>
          <w:color w:val="000000"/>
          <w:szCs w:val="24"/>
          <w:shd w:val="clear" w:color="auto" w:fill="FFFFFF"/>
        </w:rPr>
        <w:t xml:space="preserve">located in </w:t>
      </w:r>
      <w:proofErr w:type="spellStart"/>
      <w:r w:rsidRPr="009F0E4B">
        <w:rPr>
          <w:rFonts w:cstheme="minorHAnsi"/>
          <w:color w:val="000000"/>
          <w:szCs w:val="24"/>
          <w:shd w:val="clear" w:color="auto" w:fill="FFFFFF"/>
        </w:rPr>
        <w:t>Herstmonceux</w:t>
      </w:r>
      <w:proofErr w:type="spellEnd"/>
      <w:r w:rsidRPr="009F0E4B">
        <w:rPr>
          <w:rFonts w:cstheme="minorHAnsi"/>
          <w:color w:val="000000"/>
          <w:szCs w:val="24"/>
          <w:shd w:val="clear" w:color="auto" w:fill="FFFFFF"/>
        </w:rPr>
        <w:t xml:space="preserve">, East Sussex, </w:t>
      </w:r>
      <w:proofErr w:type="gramStart"/>
      <w:r w:rsidRPr="009F0E4B">
        <w:rPr>
          <w:rFonts w:cstheme="minorHAnsi"/>
          <w:color w:val="000000"/>
          <w:szCs w:val="24"/>
          <w:shd w:val="clear" w:color="auto" w:fill="FFFFFF"/>
        </w:rPr>
        <w:t>United</w:t>
      </w:r>
      <w:proofErr w:type="gramEnd"/>
      <w:r w:rsidRPr="009F0E4B">
        <w:rPr>
          <w:rFonts w:cstheme="minorHAnsi"/>
          <w:color w:val="000000"/>
          <w:szCs w:val="24"/>
          <w:shd w:val="clear" w:color="auto" w:fill="FFFFFF"/>
        </w:rPr>
        <w:t xml:space="preserve"> Kingdom. </w:t>
      </w:r>
      <w:r w:rsidRPr="009F0E4B">
        <w:rPr>
          <w:rFonts w:cstheme="minorHAnsi"/>
          <w:color w:val="000000"/>
          <w:szCs w:val="24"/>
          <w:bdr w:val="none" w:sz="0" w:space="0" w:color="auto" w:frame="1"/>
          <w:shd w:val="clear" w:color="auto" w:fill="FFFFFF"/>
        </w:rPr>
        <w:t>Queen’s balances excellence in undergraduate studies with well-established and innovative graduate programs, all within a dynamic learning environment.</w:t>
      </w:r>
    </w:p>
    <w:p w:rsidR="00000B8D" w:rsidRPr="009F0E4B" w:rsidRDefault="00C1192C" w:rsidP="00000B8D">
      <w:pPr>
        <w:spacing w:after="307"/>
        <w:rPr>
          <w:rFonts w:cstheme="minorHAnsi"/>
          <w:color w:val="1F497D" w:themeColor="text2"/>
          <w:szCs w:val="24"/>
        </w:rPr>
      </w:pPr>
      <w:r>
        <w:rPr>
          <w:rFonts w:cstheme="minorHAnsi"/>
          <w:szCs w:val="24"/>
        </w:rPr>
        <w:t>To l</w:t>
      </w:r>
      <w:r w:rsidR="00000B8D" w:rsidRPr="009F0E4B">
        <w:rPr>
          <w:rFonts w:cstheme="minorHAnsi"/>
          <w:szCs w:val="24"/>
        </w:rPr>
        <w:t xml:space="preserve">earn more about Queen's University </w:t>
      </w:r>
      <w:r w:rsidR="00730C30" w:rsidRPr="009F0E4B">
        <w:rPr>
          <w:rFonts w:cstheme="minorHAnsi"/>
          <w:szCs w:val="24"/>
        </w:rPr>
        <w:t xml:space="preserve">please go to </w:t>
      </w:r>
      <w:hyperlink r:id="rId18" w:history="1">
        <w:r w:rsidR="00730C30" w:rsidRPr="000346D6">
          <w:rPr>
            <w:rStyle w:val="Hyperlink"/>
          </w:rPr>
          <w:t>Quick Facts</w:t>
        </w:r>
        <w:r w:rsidR="00730C30" w:rsidRPr="000346D6">
          <w:rPr>
            <w:rStyle w:val="Hyperlink"/>
            <w:rFonts w:cstheme="minorHAnsi"/>
            <w:szCs w:val="24"/>
          </w:rPr>
          <w:t xml:space="preserve"> </w:t>
        </w:r>
      </w:hyperlink>
      <w:r w:rsidR="00730C30" w:rsidRPr="009F0E4B">
        <w:rPr>
          <w:rFonts w:cstheme="minorHAnsi"/>
          <w:szCs w:val="24"/>
        </w:rPr>
        <w:t xml:space="preserve"> or</w:t>
      </w:r>
      <w:r w:rsidR="009A3A39" w:rsidRPr="009F0E4B">
        <w:rPr>
          <w:rFonts w:cstheme="minorHAnsi"/>
          <w:szCs w:val="24"/>
        </w:rPr>
        <w:t xml:space="preserve"> </w:t>
      </w:r>
      <w:hyperlink r:id="rId19" w:history="1">
        <w:r w:rsidR="009A3A39" w:rsidRPr="009F0E4B">
          <w:rPr>
            <w:rStyle w:val="Hyperlink"/>
            <w:rFonts w:cstheme="minorHAnsi"/>
            <w:szCs w:val="24"/>
          </w:rPr>
          <w:t>Queen’s Encyclo</w:t>
        </w:r>
        <w:r w:rsidR="00321FE6" w:rsidRPr="009F0E4B">
          <w:rPr>
            <w:rStyle w:val="Hyperlink"/>
            <w:rFonts w:cstheme="minorHAnsi"/>
            <w:szCs w:val="24"/>
          </w:rPr>
          <w:t>pedia.</w:t>
        </w:r>
      </w:hyperlink>
    </w:p>
    <w:p w:rsidR="00C561F6" w:rsidRPr="009F0E4B" w:rsidRDefault="00C561F6" w:rsidP="002101F9">
      <w:pPr>
        <w:spacing w:after="0"/>
        <w:rPr>
          <w:rFonts w:cstheme="minorHAnsi"/>
          <w:b/>
          <w:szCs w:val="24"/>
        </w:rPr>
      </w:pPr>
      <w:r w:rsidRPr="009F0E4B">
        <w:rPr>
          <w:rFonts w:cstheme="minorHAnsi"/>
          <w:b/>
          <w:szCs w:val="24"/>
        </w:rPr>
        <w:t>Students</w:t>
      </w:r>
      <w:r w:rsidR="00166CEA" w:rsidRPr="009F0E4B">
        <w:rPr>
          <w:rFonts w:cstheme="minorHAnsi"/>
          <w:b/>
          <w:szCs w:val="24"/>
        </w:rPr>
        <w:t>, Staff</w:t>
      </w:r>
      <w:r w:rsidRPr="009F0E4B">
        <w:rPr>
          <w:rFonts w:cstheme="minorHAnsi"/>
          <w:b/>
          <w:szCs w:val="24"/>
        </w:rPr>
        <w:t xml:space="preserve"> &amp; Faculty</w:t>
      </w:r>
    </w:p>
    <w:p w:rsidR="00560BC5" w:rsidRDefault="0019631D" w:rsidP="0019631D">
      <w:pPr>
        <w:spacing w:after="307"/>
        <w:jc w:val="both"/>
        <w:rPr>
          <w:rFonts w:cstheme="minorHAnsi"/>
          <w:szCs w:val="24"/>
        </w:rPr>
      </w:pPr>
      <w:r w:rsidRPr="009F0E4B">
        <w:rPr>
          <w:rFonts w:cstheme="minorHAnsi"/>
          <w:szCs w:val="24"/>
        </w:rPr>
        <w:t xml:space="preserve">With </w:t>
      </w:r>
      <w:r w:rsidR="00F22445" w:rsidRPr="009F0E4B">
        <w:rPr>
          <w:rFonts w:cstheme="minorHAnsi"/>
          <w:szCs w:val="24"/>
        </w:rPr>
        <w:t>over</w:t>
      </w:r>
      <w:r w:rsidR="00E21536">
        <w:rPr>
          <w:rFonts w:cstheme="minorHAnsi"/>
          <w:szCs w:val="24"/>
        </w:rPr>
        <w:t xml:space="preserve"> 22</w:t>
      </w:r>
      <w:r w:rsidRPr="009F0E4B">
        <w:rPr>
          <w:rFonts w:cstheme="minorHAnsi"/>
          <w:szCs w:val="24"/>
        </w:rPr>
        <w:t>,000 students</w:t>
      </w:r>
      <w:r w:rsidR="00247712">
        <w:rPr>
          <w:rFonts w:cstheme="minorHAnsi"/>
          <w:szCs w:val="24"/>
        </w:rPr>
        <w:t>,</w:t>
      </w:r>
      <w:r w:rsidRPr="009F0E4B">
        <w:rPr>
          <w:rFonts w:cstheme="minorHAnsi"/>
          <w:szCs w:val="24"/>
        </w:rPr>
        <w:t xml:space="preserve"> </w:t>
      </w:r>
      <w:r w:rsidR="002E2B3F" w:rsidRPr="009F0E4B">
        <w:rPr>
          <w:rFonts w:cstheme="minorHAnsi"/>
          <w:szCs w:val="24"/>
        </w:rPr>
        <w:t xml:space="preserve">Queen's student body represents </w:t>
      </w:r>
      <w:r w:rsidR="00E21536">
        <w:rPr>
          <w:rFonts w:cstheme="minorHAnsi"/>
          <w:szCs w:val="24"/>
        </w:rPr>
        <w:t>109</w:t>
      </w:r>
      <w:r w:rsidR="002E2B3F" w:rsidRPr="009F0E4B">
        <w:rPr>
          <w:rFonts w:cstheme="minorHAnsi"/>
          <w:szCs w:val="24"/>
        </w:rPr>
        <w:t xml:space="preserve"> different countries, along with every Canadian province and territory. </w:t>
      </w:r>
      <w:r w:rsidRPr="009F0E4B">
        <w:rPr>
          <w:rFonts w:cstheme="minorHAnsi"/>
          <w:szCs w:val="24"/>
        </w:rPr>
        <w:t xml:space="preserve">Over </w:t>
      </w:r>
      <w:r w:rsidR="004E200B">
        <w:rPr>
          <w:rFonts w:cstheme="minorHAnsi"/>
          <w:szCs w:val="24"/>
        </w:rPr>
        <w:t>8</w:t>
      </w:r>
      <w:r w:rsidR="00F22445" w:rsidRPr="009F0E4B">
        <w:rPr>
          <w:rFonts w:cstheme="minorHAnsi"/>
          <w:szCs w:val="24"/>
        </w:rPr>
        <w:t>,000</w:t>
      </w:r>
      <w:r w:rsidRPr="009F0E4B">
        <w:rPr>
          <w:rFonts w:cstheme="minorHAnsi"/>
          <w:szCs w:val="24"/>
        </w:rPr>
        <w:t xml:space="preserve"> committed staff and faculty work to provide a scholarly and welcoming environment for our students. </w:t>
      </w:r>
      <w:r w:rsidR="002016A5" w:rsidRPr="00A815BA">
        <w:rPr>
          <w:rFonts w:cstheme="minorHAnsi"/>
          <w:szCs w:val="24"/>
        </w:rPr>
        <w:t xml:space="preserve">During the </w:t>
      </w:r>
      <w:r w:rsidR="00E95CDD" w:rsidRPr="00A815BA">
        <w:rPr>
          <w:rFonts w:cstheme="minorHAnsi"/>
          <w:szCs w:val="24"/>
        </w:rPr>
        <w:t>2015-2016</w:t>
      </w:r>
      <w:r w:rsidR="002016A5" w:rsidRPr="00A815BA">
        <w:rPr>
          <w:rFonts w:cstheme="minorHAnsi"/>
          <w:szCs w:val="24"/>
        </w:rPr>
        <w:t xml:space="preserve"> academic year the </w:t>
      </w:r>
      <w:r w:rsidR="00E95CDD" w:rsidRPr="00A815BA">
        <w:rPr>
          <w:rFonts w:cstheme="minorHAnsi"/>
          <w:szCs w:val="24"/>
        </w:rPr>
        <w:t>Queen’s Student Accessibility Services (QSAS) registered nearly 1325</w:t>
      </w:r>
      <w:r w:rsidR="002016A5" w:rsidRPr="00A815BA">
        <w:rPr>
          <w:rFonts w:cstheme="minorHAnsi"/>
          <w:szCs w:val="24"/>
        </w:rPr>
        <w:t xml:space="preserve"> students with disabilities requiring accommodations.</w:t>
      </w:r>
      <w:r w:rsidR="002016A5">
        <w:rPr>
          <w:rFonts w:cstheme="minorHAnsi"/>
          <w:szCs w:val="24"/>
        </w:rPr>
        <w:t xml:space="preserve"> </w:t>
      </w:r>
      <w:r w:rsidR="00560BC5">
        <w:rPr>
          <w:rFonts w:cstheme="minorHAnsi"/>
          <w:szCs w:val="24"/>
        </w:rPr>
        <w:t>Accessibility initiatives</w:t>
      </w:r>
      <w:r w:rsidR="002016A5">
        <w:rPr>
          <w:rFonts w:cstheme="minorHAnsi"/>
          <w:szCs w:val="24"/>
        </w:rPr>
        <w:t xml:space="preserve"> c</w:t>
      </w:r>
      <w:r w:rsidR="00B7387F">
        <w:rPr>
          <w:rFonts w:cstheme="minorHAnsi"/>
          <w:szCs w:val="24"/>
        </w:rPr>
        <w:t>lear</w:t>
      </w:r>
      <w:r w:rsidR="002016A5">
        <w:rPr>
          <w:rFonts w:cstheme="minorHAnsi"/>
          <w:szCs w:val="24"/>
        </w:rPr>
        <w:t xml:space="preserve">ly align with the work of this Office in that there is a shared purpose to </w:t>
      </w:r>
      <w:r w:rsidR="00A84D1D">
        <w:rPr>
          <w:rFonts w:cstheme="minorHAnsi"/>
          <w:szCs w:val="24"/>
        </w:rPr>
        <w:t xml:space="preserve">provide inclusive services, supports, and facilities and </w:t>
      </w:r>
      <w:r w:rsidR="002016A5">
        <w:rPr>
          <w:rFonts w:cstheme="minorHAnsi"/>
          <w:szCs w:val="24"/>
        </w:rPr>
        <w:t xml:space="preserve">promote educational equity for students with </w:t>
      </w:r>
      <w:r w:rsidR="00560BC5">
        <w:rPr>
          <w:rFonts w:cstheme="minorHAnsi"/>
          <w:szCs w:val="24"/>
        </w:rPr>
        <w:t xml:space="preserve">disabilities. </w:t>
      </w:r>
    </w:p>
    <w:p w:rsidR="0014124E" w:rsidRPr="009F0E4B" w:rsidRDefault="0014124E" w:rsidP="0019631D">
      <w:pPr>
        <w:spacing w:after="307"/>
        <w:jc w:val="both"/>
        <w:rPr>
          <w:rFonts w:cstheme="minorHAnsi"/>
          <w:szCs w:val="24"/>
        </w:rPr>
      </w:pPr>
      <w:r w:rsidRPr="008042EE">
        <w:rPr>
          <w:rFonts w:cstheme="minorHAnsi"/>
          <w:szCs w:val="24"/>
        </w:rPr>
        <w:t xml:space="preserve">Below is a </w:t>
      </w:r>
      <w:r w:rsidR="00170618" w:rsidRPr="008042EE">
        <w:rPr>
          <w:rFonts w:cstheme="minorHAnsi"/>
          <w:szCs w:val="24"/>
        </w:rPr>
        <w:t>t</w:t>
      </w:r>
      <w:r w:rsidRPr="008042EE">
        <w:rPr>
          <w:rFonts w:cstheme="minorHAnsi"/>
          <w:szCs w:val="24"/>
        </w:rPr>
        <w:t xml:space="preserve">able that indicates </w:t>
      </w:r>
      <w:r w:rsidR="00541C59" w:rsidRPr="008042EE">
        <w:rPr>
          <w:rFonts w:cstheme="minorHAnsi"/>
          <w:szCs w:val="24"/>
        </w:rPr>
        <w:t xml:space="preserve">our </w:t>
      </w:r>
      <w:r w:rsidR="0099729D" w:rsidRPr="008042EE">
        <w:rPr>
          <w:rFonts w:cstheme="minorHAnsi"/>
          <w:szCs w:val="24"/>
        </w:rPr>
        <w:t xml:space="preserve">current </w:t>
      </w:r>
      <w:r w:rsidR="00541C59" w:rsidRPr="008042EE">
        <w:rPr>
          <w:rFonts w:cstheme="minorHAnsi"/>
          <w:szCs w:val="24"/>
        </w:rPr>
        <w:t>representation of faculty</w:t>
      </w:r>
      <w:r w:rsidR="001A6453" w:rsidRPr="008042EE">
        <w:rPr>
          <w:rFonts w:cstheme="minorHAnsi"/>
          <w:szCs w:val="24"/>
        </w:rPr>
        <w:t xml:space="preserve"> and staff</w:t>
      </w:r>
      <w:r w:rsidR="00541C59" w:rsidRPr="008042EE">
        <w:rPr>
          <w:rFonts w:cstheme="minorHAnsi"/>
          <w:szCs w:val="24"/>
        </w:rPr>
        <w:t xml:space="preserve"> who have voluntarily self-identified as having a disability</w:t>
      </w:r>
      <w:r w:rsidR="00E21477" w:rsidRPr="008042EE">
        <w:rPr>
          <w:rFonts w:cstheme="minorHAnsi"/>
          <w:szCs w:val="24"/>
        </w:rPr>
        <w:t xml:space="preserve"> in 2015</w:t>
      </w:r>
      <w:r w:rsidR="007F1246" w:rsidRPr="008042EE">
        <w:rPr>
          <w:rFonts w:cstheme="minorHAnsi"/>
          <w:szCs w:val="24"/>
        </w:rPr>
        <w:t>.</w:t>
      </w:r>
      <w:r w:rsidR="00541C59" w:rsidRPr="009F0E4B">
        <w:rPr>
          <w:rFonts w:cstheme="minorHAnsi"/>
          <w:szCs w:val="24"/>
        </w:rPr>
        <w:t xml:space="preserve"> </w:t>
      </w:r>
    </w:p>
    <w:tbl>
      <w:tblPr>
        <w:tblStyle w:val="ListTable4-Accent11"/>
        <w:tblW w:w="0" w:type="auto"/>
        <w:tblLook w:val="04A0" w:firstRow="1" w:lastRow="0" w:firstColumn="1" w:lastColumn="0" w:noHBand="0" w:noVBand="1"/>
        <w:tblCaption w:val="Current representation of faculty and staff who have voluntarily self-identified as having a disability in 2012. "/>
        <w:tblDescription w:val="4.4% of faculty and 5.3% of staff have self-identified as having a disability."/>
      </w:tblPr>
      <w:tblGrid>
        <w:gridCol w:w="1885"/>
        <w:gridCol w:w="3060"/>
      </w:tblGrid>
      <w:tr w:rsidR="001C2EEC" w:rsidRPr="009F0E4B" w:rsidTr="00A66F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5" w:type="dxa"/>
            <w:tcBorders>
              <w:top w:val="none" w:sz="0" w:space="0" w:color="auto"/>
              <w:left w:val="none" w:sz="0" w:space="0" w:color="auto"/>
              <w:bottom w:val="none" w:sz="0" w:space="0" w:color="auto"/>
            </w:tcBorders>
          </w:tcPr>
          <w:p w:rsidR="001C2EEC" w:rsidRPr="009F0E4B" w:rsidRDefault="001C2EEC" w:rsidP="00FE3C7A">
            <w:pPr>
              <w:spacing w:after="307"/>
              <w:jc w:val="center"/>
              <w:rPr>
                <w:rFonts w:cstheme="minorHAnsi"/>
                <w:b w:val="0"/>
                <w:sz w:val="28"/>
                <w:szCs w:val="28"/>
              </w:rPr>
            </w:pPr>
            <w:r w:rsidRPr="009F0E4B">
              <w:rPr>
                <w:rFonts w:cstheme="minorHAnsi"/>
                <w:sz w:val="28"/>
                <w:szCs w:val="28"/>
              </w:rPr>
              <w:t>Who</w:t>
            </w:r>
          </w:p>
        </w:tc>
        <w:tc>
          <w:tcPr>
            <w:tcW w:w="3060" w:type="dxa"/>
            <w:tcBorders>
              <w:top w:val="none" w:sz="0" w:space="0" w:color="auto"/>
              <w:bottom w:val="none" w:sz="0" w:space="0" w:color="auto"/>
              <w:right w:val="none" w:sz="0" w:space="0" w:color="auto"/>
            </w:tcBorders>
          </w:tcPr>
          <w:p w:rsidR="001C2EEC" w:rsidRPr="009F0E4B" w:rsidRDefault="001C2EEC" w:rsidP="00FE3C7A">
            <w:pPr>
              <w:spacing w:after="307"/>
              <w:jc w:val="center"/>
              <w:cnfStyle w:val="100000000000" w:firstRow="1" w:lastRow="0" w:firstColumn="0" w:lastColumn="0" w:oddVBand="0" w:evenVBand="0" w:oddHBand="0" w:evenHBand="0" w:firstRowFirstColumn="0" w:firstRowLastColumn="0" w:lastRowFirstColumn="0" w:lastRowLastColumn="0"/>
              <w:rPr>
                <w:rFonts w:cstheme="minorHAnsi"/>
                <w:b w:val="0"/>
                <w:sz w:val="28"/>
                <w:szCs w:val="28"/>
              </w:rPr>
            </w:pPr>
            <w:r w:rsidRPr="009F0E4B">
              <w:rPr>
                <w:rFonts w:cstheme="minorHAnsi"/>
                <w:sz w:val="28"/>
                <w:szCs w:val="28"/>
              </w:rPr>
              <w:t>Percentage</w:t>
            </w:r>
          </w:p>
        </w:tc>
      </w:tr>
      <w:tr w:rsidR="001C2EEC" w:rsidRPr="009F0E4B" w:rsidTr="00DD6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1C2EEC" w:rsidRPr="009F0E4B" w:rsidRDefault="001C2EEC" w:rsidP="0019631D">
            <w:pPr>
              <w:spacing w:after="307"/>
              <w:jc w:val="both"/>
              <w:rPr>
                <w:rFonts w:cstheme="minorHAnsi"/>
                <w:szCs w:val="24"/>
              </w:rPr>
            </w:pPr>
            <w:r w:rsidRPr="009F0E4B">
              <w:rPr>
                <w:rFonts w:cstheme="minorHAnsi"/>
                <w:szCs w:val="24"/>
              </w:rPr>
              <w:t>Faculty</w:t>
            </w:r>
          </w:p>
        </w:tc>
        <w:tc>
          <w:tcPr>
            <w:tcW w:w="3060" w:type="dxa"/>
          </w:tcPr>
          <w:p w:rsidR="001C2EEC" w:rsidRPr="009F0E4B" w:rsidRDefault="0073526B" w:rsidP="00F22445">
            <w:pPr>
              <w:spacing w:after="307"/>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3.5</w:t>
            </w:r>
            <w:r w:rsidR="001C2EEC" w:rsidRPr="009F0E4B">
              <w:rPr>
                <w:rFonts w:cstheme="minorHAnsi"/>
                <w:szCs w:val="24"/>
              </w:rPr>
              <w:t>%</w:t>
            </w:r>
          </w:p>
        </w:tc>
      </w:tr>
      <w:tr w:rsidR="001C2EEC" w:rsidRPr="009F0E4B" w:rsidTr="00DD6BCB">
        <w:tc>
          <w:tcPr>
            <w:cnfStyle w:val="001000000000" w:firstRow="0" w:lastRow="0" w:firstColumn="1" w:lastColumn="0" w:oddVBand="0" w:evenVBand="0" w:oddHBand="0" w:evenHBand="0" w:firstRowFirstColumn="0" w:firstRowLastColumn="0" w:lastRowFirstColumn="0" w:lastRowLastColumn="0"/>
            <w:tcW w:w="1885" w:type="dxa"/>
          </w:tcPr>
          <w:p w:rsidR="001C2EEC" w:rsidRPr="009F0E4B" w:rsidRDefault="001C2EEC" w:rsidP="0019631D">
            <w:pPr>
              <w:spacing w:after="307"/>
              <w:jc w:val="both"/>
              <w:rPr>
                <w:rFonts w:cstheme="minorHAnsi"/>
                <w:szCs w:val="24"/>
              </w:rPr>
            </w:pPr>
            <w:r w:rsidRPr="009F0E4B">
              <w:rPr>
                <w:rFonts w:cstheme="minorHAnsi"/>
                <w:szCs w:val="24"/>
              </w:rPr>
              <w:t>Staff</w:t>
            </w:r>
          </w:p>
        </w:tc>
        <w:tc>
          <w:tcPr>
            <w:tcW w:w="3060" w:type="dxa"/>
          </w:tcPr>
          <w:p w:rsidR="001C2EEC" w:rsidRPr="009F0E4B" w:rsidRDefault="0073526B" w:rsidP="0014124E">
            <w:pPr>
              <w:spacing w:after="307"/>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5.8</w:t>
            </w:r>
            <w:r w:rsidR="001C2EEC" w:rsidRPr="009F0E4B">
              <w:rPr>
                <w:rFonts w:cstheme="minorHAnsi"/>
                <w:szCs w:val="24"/>
              </w:rPr>
              <w:t>%</w:t>
            </w:r>
          </w:p>
        </w:tc>
      </w:tr>
    </w:tbl>
    <w:p w:rsidR="009626A0" w:rsidRPr="009F0E4B" w:rsidRDefault="009626A0" w:rsidP="009626A0">
      <w:pPr>
        <w:spacing w:before="100" w:beforeAutospacing="1" w:after="100" w:afterAutospacing="1" w:line="240" w:lineRule="auto"/>
        <w:jc w:val="both"/>
        <w:rPr>
          <w:rFonts w:eastAsia="Times New Roman" w:cstheme="minorHAnsi"/>
          <w:szCs w:val="24"/>
        </w:rPr>
      </w:pPr>
      <w:bookmarkStart w:id="1" w:name="_Toc327799008"/>
      <w:bookmarkStart w:id="2" w:name="_Toc327799169"/>
      <w:r w:rsidRPr="009F0E4B">
        <w:rPr>
          <w:rFonts w:eastAsia="Times New Roman" w:cstheme="minorHAnsi"/>
          <w:szCs w:val="24"/>
        </w:rPr>
        <w:t xml:space="preserve">Under the Accessibility for Ontarians with Disabilities Act, 2005 (“AODA”) Queen’s University is considered a large designated public sector organization. As </w:t>
      </w:r>
      <w:proofErr w:type="gramStart"/>
      <w:r w:rsidRPr="009F0E4B">
        <w:rPr>
          <w:rFonts w:eastAsia="Times New Roman" w:cstheme="minorHAnsi"/>
          <w:szCs w:val="24"/>
        </w:rPr>
        <w:t>such</w:t>
      </w:r>
      <w:proofErr w:type="gramEnd"/>
      <w:r w:rsidRPr="009F0E4B">
        <w:rPr>
          <w:rFonts w:eastAsia="Times New Roman" w:cstheme="minorHAnsi"/>
          <w:szCs w:val="24"/>
        </w:rPr>
        <w:t xml:space="preserve"> Queen’s is required to </w:t>
      </w:r>
      <w:r w:rsidRPr="009F0E4B">
        <w:rPr>
          <w:rFonts w:eastAsia="Times New Roman" w:cstheme="minorHAnsi"/>
          <w:szCs w:val="24"/>
        </w:rPr>
        <w:lastRenderedPageBreak/>
        <w:t xml:space="preserve">establish, implement, maintain and document a multi- year accessibility plan. This document constitutes </w:t>
      </w:r>
      <w:proofErr w:type="gramStart"/>
      <w:r w:rsidRPr="009F0E4B">
        <w:rPr>
          <w:rFonts w:eastAsia="Times New Roman" w:cstheme="minorHAnsi"/>
          <w:szCs w:val="24"/>
        </w:rPr>
        <w:t>Queen’s University’s</w:t>
      </w:r>
      <w:proofErr w:type="gramEnd"/>
      <w:r w:rsidRPr="009F0E4B">
        <w:rPr>
          <w:rFonts w:eastAsia="Times New Roman" w:cstheme="minorHAnsi"/>
          <w:szCs w:val="24"/>
        </w:rPr>
        <w:t xml:space="preserve"> Accessibility Plan (“the Plan”) </w:t>
      </w:r>
      <w:r w:rsidRPr="00CA5B66">
        <w:rPr>
          <w:rFonts w:eastAsia="Times New Roman" w:cstheme="minorHAnsi"/>
          <w:szCs w:val="24"/>
        </w:rPr>
        <w:t>for the period 2016 to 2025.</w:t>
      </w:r>
    </w:p>
    <w:p w:rsidR="009626A0" w:rsidRPr="009F0E4B" w:rsidRDefault="009626A0" w:rsidP="009626A0">
      <w:pPr>
        <w:spacing w:before="100" w:beforeAutospacing="1" w:after="100" w:afterAutospacing="1" w:line="240" w:lineRule="auto"/>
        <w:jc w:val="both"/>
        <w:rPr>
          <w:rFonts w:eastAsia="Times New Roman" w:cstheme="minorHAnsi"/>
          <w:szCs w:val="24"/>
        </w:rPr>
      </w:pPr>
      <w:r w:rsidRPr="009F0E4B">
        <w:rPr>
          <w:rFonts w:eastAsia="Times New Roman" w:cstheme="minorHAnsi"/>
          <w:szCs w:val="24"/>
        </w:rPr>
        <w:t>The purpose of this required activity is to outline the university’s strategy to prevent and remove barriers and meet our requirements under the AODA and its Regulations.</w:t>
      </w:r>
    </w:p>
    <w:p w:rsidR="009626A0" w:rsidRPr="009F0E4B" w:rsidRDefault="009626A0" w:rsidP="009626A0">
      <w:pPr>
        <w:spacing w:before="100" w:beforeAutospacing="1" w:after="100" w:afterAutospacing="1" w:line="240" w:lineRule="auto"/>
        <w:jc w:val="both"/>
        <w:rPr>
          <w:rFonts w:eastAsia="Times New Roman" w:cstheme="minorHAnsi"/>
          <w:szCs w:val="24"/>
        </w:rPr>
      </w:pPr>
      <w:r w:rsidRPr="009F0E4B">
        <w:rPr>
          <w:rFonts w:eastAsia="Times New Roman" w:cstheme="minorHAnsi"/>
          <w:szCs w:val="24"/>
        </w:rPr>
        <w:t>In preparing accessibility plans, the following shall be addressed:</w:t>
      </w:r>
    </w:p>
    <w:p w:rsidR="009626A0" w:rsidRPr="008237A2" w:rsidRDefault="009626A0" w:rsidP="009626A0">
      <w:pPr>
        <w:pStyle w:val="ListParagraph"/>
        <w:numPr>
          <w:ilvl w:val="0"/>
          <w:numId w:val="30"/>
        </w:numPr>
        <w:rPr>
          <w:rFonts w:eastAsia="Times New Roman"/>
        </w:rPr>
      </w:pPr>
      <w:r w:rsidRPr="008237A2">
        <w:rPr>
          <w:rFonts w:eastAsia="Times New Roman"/>
        </w:rPr>
        <w:t>The Plan shall report on the measures the university has taken to identify, remove, and prevent barriers to persons with disabilities;</w:t>
      </w:r>
    </w:p>
    <w:p w:rsidR="009626A0" w:rsidRPr="008237A2" w:rsidRDefault="009626A0" w:rsidP="009626A0">
      <w:pPr>
        <w:pStyle w:val="ListParagraph"/>
        <w:numPr>
          <w:ilvl w:val="0"/>
          <w:numId w:val="30"/>
        </w:numPr>
        <w:rPr>
          <w:rFonts w:eastAsia="Times New Roman"/>
        </w:rPr>
      </w:pPr>
      <w:r w:rsidRPr="008237A2">
        <w:rPr>
          <w:rFonts w:eastAsia="Times New Roman"/>
        </w:rPr>
        <w:t>The Plan shall describe the measures in place to ensure that the university assesses its policies, practices, programs, and services to determine their effect on accessibility for persons with disabilities;</w:t>
      </w:r>
    </w:p>
    <w:p w:rsidR="009626A0" w:rsidRPr="008237A2" w:rsidRDefault="009626A0" w:rsidP="009626A0">
      <w:pPr>
        <w:pStyle w:val="ListParagraph"/>
        <w:numPr>
          <w:ilvl w:val="0"/>
          <w:numId w:val="30"/>
        </w:numPr>
        <w:rPr>
          <w:rFonts w:eastAsia="Times New Roman"/>
        </w:rPr>
      </w:pPr>
      <w:r w:rsidRPr="008237A2">
        <w:rPr>
          <w:rFonts w:eastAsia="Times New Roman"/>
        </w:rPr>
        <w:t>The Plan shall describe the measures the university intends to take in the coming years to identify, remove, and prevent barriers to persons with disabilities;</w:t>
      </w:r>
    </w:p>
    <w:p w:rsidR="009626A0" w:rsidRPr="008237A2" w:rsidRDefault="009626A0" w:rsidP="009626A0">
      <w:pPr>
        <w:pStyle w:val="ListParagraph"/>
        <w:numPr>
          <w:ilvl w:val="0"/>
          <w:numId w:val="30"/>
        </w:numPr>
        <w:rPr>
          <w:rFonts w:eastAsia="Times New Roman"/>
        </w:rPr>
      </w:pPr>
      <w:r w:rsidRPr="008237A2">
        <w:rPr>
          <w:rFonts w:eastAsia="Times New Roman"/>
        </w:rPr>
        <w:t>The university shall make the Plan and its status reports available to the public and in an alternative format upon request</w:t>
      </w:r>
      <w:r>
        <w:rPr>
          <w:rFonts w:eastAsia="Times New Roman"/>
        </w:rPr>
        <w:t>.</w:t>
      </w:r>
    </w:p>
    <w:p w:rsidR="009626A0" w:rsidRPr="009F0E4B" w:rsidRDefault="009626A0" w:rsidP="009626A0">
      <w:pPr>
        <w:spacing w:before="100" w:beforeAutospacing="1" w:after="100" w:afterAutospacing="1" w:line="240" w:lineRule="auto"/>
        <w:jc w:val="both"/>
        <w:rPr>
          <w:rStyle w:val="Heading1Char"/>
          <w:rFonts w:asciiTheme="minorHAnsi" w:hAnsiTheme="minorHAnsi" w:cstheme="minorHAnsi"/>
          <w:sz w:val="40"/>
          <w:szCs w:val="40"/>
        </w:rPr>
      </w:pPr>
      <w:r w:rsidRPr="009F0E4B">
        <w:rPr>
          <w:rFonts w:eastAsia="Times New Roman" w:cstheme="minorHAnsi"/>
          <w:szCs w:val="24"/>
        </w:rPr>
        <w:t xml:space="preserve">The Plan’s progress will be reviewed and reported annually, and additional identified initiatives will be added. </w:t>
      </w:r>
    </w:p>
    <w:p w:rsidR="008D6DC9" w:rsidRPr="009F0E4B" w:rsidRDefault="008D6DC9" w:rsidP="0057695F">
      <w:pPr>
        <w:pStyle w:val="Heading1"/>
        <w:rPr>
          <w:rStyle w:val="Heading1Char"/>
          <w:rFonts w:asciiTheme="minorHAnsi" w:hAnsiTheme="minorHAnsi" w:cstheme="minorHAnsi"/>
          <w:b/>
          <w:bCs/>
        </w:rPr>
      </w:pPr>
      <w:bookmarkStart w:id="3" w:name="_Toc466287410"/>
      <w:r w:rsidRPr="009F0E4B">
        <w:rPr>
          <w:rStyle w:val="Heading1Char"/>
          <w:rFonts w:asciiTheme="minorHAnsi" w:hAnsiTheme="minorHAnsi" w:cstheme="minorHAnsi"/>
          <w:b/>
          <w:bCs/>
        </w:rPr>
        <w:t xml:space="preserve">Section </w:t>
      </w:r>
      <w:r w:rsidR="00CA5B66">
        <w:rPr>
          <w:rStyle w:val="Heading1Char"/>
          <w:rFonts w:asciiTheme="minorHAnsi" w:hAnsiTheme="minorHAnsi" w:cstheme="minorHAnsi"/>
          <w:b/>
          <w:bCs/>
        </w:rPr>
        <w:t>1</w:t>
      </w:r>
      <w:r w:rsidR="00595293" w:rsidRPr="009F0E4B">
        <w:rPr>
          <w:rStyle w:val="Heading1Char"/>
          <w:rFonts w:asciiTheme="minorHAnsi" w:hAnsiTheme="minorHAnsi" w:cstheme="minorHAnsi"/>
          <w:b/>
          <w:bCs/>
        </w:rPr>
        <w:t>:</w:t>
      </w:r>
      <w:r w:rsidR="005569A0">
        <w:rPr>
          <w:rStyle w:val="Heading1Char"/>
          <w:rFonts w:asciiTheme="minorHAnsi" w:hAnsiTheme="minorHAnsi" w:cstheme="minorHAnsi"/>
          <w:b/>
          <w:bCs/>
        </w:rPr>
        <w:t xml:space="preserve"> </w:t>
      </w:r>
      <w:r w:rsidRPr="009F0E4B">
        <w:rPr>
          <w:rStyle w:val="Heading1Char"/>
          <w:rFonts w:asciiTheme="minorHAnsi" w:hAnsiTheme="minorHAnsi" w:cstheme="minorHAnsi"/>
          <w:b/>
          <w:bCs/>
        </w:rPr>
        <w:t>Vision &amp; Commitment</w:t>
      </w:r>
      <w:r w:rsidR="00CA5B66">
        <w:rPr>
          <w:rStyle w:val="Heading1Char"/>
          <w:rFonts w:asciiTheme="minorHAnsi" w:hAnsiTheme="minorHAnsi" w:cstheme="minorHAnsi"/>
          <w:b/>
          <w:bCs/>
        </w:rPr>
        <w:t xml:space="preserve"> to Accessibility</w:t>
      </w:r>
      <w:bookmarkEnd w:id="3"/>
    </w:p>
    <w:p w:rsidR="009A42A5" w:rsidRPr="009F0E4B" w:rsidRDefault="009A42A5" w:rsidP="00C57C00">
      <w:pPr>
        <w:jc w:val="both"/>
        <w:rPr>
          <w:rFonts w:cstheme="minorHAnsi"/>
          <w:szCs w:val="24"/>
        </w:rPr>
      </w:pPr>
      <w:r w:rsidRPr="009F0E4B">
        <w:rPr>
          <w:rFonts w:cstheme="minorHAnsi"/>
          <w:szCs w:val="24"/>
        </w:rPr>
        <w:t>Queen’s vision is to improve opportunities for persons with disabilities and to provide for their involvement in the strategic identification, removal, and prevention of barriers to their full participation. Accessibility planning provides the university with the opportunity to take a comprehensive look at its services, policies, procedures, practices and programs to determine which aspects of its operat</w:t>
      </w:r>
      <w:r w:rsidR="00C57C00" w:rsidRPr="009F0E4B">
        <w:rPr>
          <w:rFonts w:cstheme="minorHAnsi"/>
          <w:szCs w:val="24"/>
        </w:rPr>
        <w:t>ions require action towards advancing accessibility. In order to support progress and meaningful implementation of the Plan, a strong foundation built upon the fo</w:t>
      </w:r>
      <w:r w:rsidR="007A0B65" w:rsidRPr="009F0E4B">
        <w:rPr>
          <w:rFonts w:cstheme="minorHAnsi"/>
          <w:szCs w:val="24"/>
        </w:rPr>
        <w:t>llowing principles is necessary.</w:t>
      </w:r>
    </w:p>
    <w:p w:rsidR="00C57C00" w:rsidRPr="009F0E4B" w:rsidRDefault="00C57C00" w:rsidP="0057695F">
      <w:pPr>
        <w:pStyle w:val="Heading2"/>
        <w:rPr>
          <w:rFonts w:asciiTheme="minorHAnsi" w:hAnsiTheme="minorHAnsi" w:cstheme="minorHAnsi"/>
        </w:rPr>
      </w:pPr>
      <w:bookmarkStart w:id="4" w:name="_Toc466287411"/>
      <w:r w:rsidRPr="009F0E4B">
        <w:rPr>
          <w:rFonts w:asciiTheme="minorHAnsi" w:hAnsiTheme="minorHAnsi" w:cstheme="minorHAnsi"/>
        </w:rPr>
        <w:t>Informed &amp; Committed Leadership</w:t>
      </w:r>
      <w:bookmarkEnd w:id="4"/>
    </w:p>
    <w:p w:rsidR="00247712" w:rsidRPr="009F0E4B" w:rsidRDefault="00247712" w:rsidP="003D622D">
      <w:pPr>
        <w:pStyle w:val="ListParagraph"/>
        <w:numPr>
          <w:ilvl w:val="0"/>
          <w:numId w:val="3"/>
        </w:numPr>
        <w:rPr>
          <w:rFonts w:cstheme="minorHAnsi"/>
          <w:szCs w:val="24"/>
        </w:rPr>
      </w:pPr>
      <w:r w:rsidRPr="009F0E4B">
        <w:rPr>
          <w:rFonts w:cstheme="minorHAnsi"/>
          <w:szCs w:val="24"/>
        </w:rPr>
        <w:t>All Departments are asked to provide input into the Plan</w:t>
      </w:r>
    </w:p>
    <w:p w:rsidR="00247712" w:rsidRPr="009F0E4B" w:rsidRDefault="00247712" w:rsidP="003D622D">
      <w:pPr>
        <w:pStyle w:val="ListParagraph"/>
        <w:numPr>
          <w:ilvl w:val="0"/>
          <w:numId w:val="3"/>
        </w:numPr>
        <w:rPr>
          <w:rFonts w:cstheme="minorHAnsi"/>
          <w:szCs w:val="24"/>
        </w:rPr>
      </w:pPr>
      <w:r w:rsidRPr="009F0E4B">
        <w:rPr>
          <w:rFonts w:cstheme="minorHAnsi"/>
          <w:szCs w:val="24"/>
        </w:rPr>
        <w:t>The Vice-Principals’ Operations Committee (VPOC) approves the Plan as well as receives annual progress reports for information</w:t>
      </w:r>
    </w:p>
    <w:p w:rsidR="00247712" w:rsidRPr="009F0E4B" w:rsidRDefault="00247712" w:rsidP="003D622D">
      <w:pPr>
        <w:pStyle w:val="ListParagraph"/>
        <w:numPr>
          <w:ilvl w:val="0"/>
          <w:numId w:val="3"/>
        </w:numPr>
        <w:rPr>
          <w:rFonts w:cstheme="minorHAnsi"/>
          <w:szCs w:val="24"/>
        </w:rPr>
      </w:pPr>
      <w:r w:rsidRPr="009F0E4B">
        <w:rPr>
          <w:rFonts w:cstheme="minorHAnsi"/>
          <w:szCs w:val="24"/>
        </w:rPr>
        <w:t xml:space="preserve">Accountability is demonstrated through the Plan and its related accessibility documentation </w:t>
      </w:r>
      <w:r>
        <w:rPr>
          <w:rFonts w:cstheme="minorHAnsi"/>
          <w:szCs w:val="24"/>
        </w:rPr>
        <w:t>is</w:t>
      </w:r>
      <w:r w:rsidRPr="009F0E4B">
        <w:rPr>
          <w:rFonts w:cstheme="minorHAnsi"/>
          <w:szCs w:val="24"/>
        </w:rPr>
        <w:t xml:space="preserve"> made publicly available and in alternative formats upon request</w:t>
      </w:r>
    </w:p>
    <w:p w:rsidR="00247712" w:rsidRPr="009F0E4B" w:rsidRDefault="00247712" w:rsidP="003D622D">
      <w:pPr>
        <w:pStyle w:val="ListParagraph"/>
        <w:numPr>
          <w:ilvl w:val="0"/>
          <w:numId w:val="3"/>
        </w:numPr>
        <w:rPr>
          <w:rFonts w:cstheme="minorHAnsi"/>
          <w:szCs w:val="24"/>
        </w:rPr>
      </w:pPr>
      <w:r w:rsidRPr="009F0E4B">
        <w:rPr>
          <w:rFonts w:cstheme="minorHAnsi"/>
          <w:szCs w:val="24"/>
        </w:rPr>
        <w:t xml:space="preserve">Mandatory accessibility and human rights training </w:t>
      </w:r>
      <w:r>
        <w:rPr>
          <w:rFonts w:cstheme="minorHAnsi"/>
          <w:szCs w:val="24"/>
        </w:rPr>
        <w:t xml:space="preserve">is offered </w:t>
      </w:r>
      <w:r w:rsidRPr="009F0E4B">
        <w:rPr>
          <w:rFonts w:cstheme="minorHAnsi"/>
          <w:szCs w:val="24"/>
        </w:rPr>
        <w:t>for all staff, faculty, and students acting on behalf of the university</w:t>
      </w:r>
    </w:p>
    <w:p w:rsidR="00247712" w:rsidRPr="009F0E4B" w:rsidRDefault="00247712" w:rsidP="003D622D">
      <w:pPr>
        <w:pStyle w:val="ListParagraph"/>
        <w:numPr>
          <w:ilvl w:val="0"/>
          <w:numId w:val="3"/>
        </w:numPr>
        <w:rPr>
          <w:rFonts w:cstheme="minorHAnsi"/>
          <w:szCs w:val="24"/>
        </w:rPr>
      </w:pPr>
      <w:r w:rsidRPr="009F0E4B">
        <w:rPr>
          <w:rFonts w:cstheme="minorHAnsi"/>
          <w:szCs w:val="24"/>
        </w:rPr>
        <w:lastRenderedPageBreak/>
        <w:t>Engaged and aware employees incorporate accessibility into daily practices at all levels of the organization and are encouraged to use an inclusionary lens when preparing policy and procedural documents or developing programs and services</w:t>
      </w:r>
    </w:p>
    <w:p w:rsidR="007A0B65" w:rsidRPr="009F0E4B" w:rsidRDefault="007A0B65" w:rsidP="00247712">
      <w:pPr>
        <w:pStyle w:val="Heading2"/>
        <w:rPr>
          <w:rFonts w:asciiTheme="minorHAnsi" w:hAnsiTheme="minorHAnsi" w:cstheme="minorHAnsi"/>
        </w:rPr>
      </w:pPr>
      <w:bookmarkStart w:id="5" w:name="_Toc466287412"/>
      <w:r w:rsidRPr="009F0E4B">
        <w:rPr>
          <w:rFonts w:asciiTheme="minorHAnsi" w:hAnsiTheme="minorHAnsi" w:cstheme="minorHAnsi"/>
        </w:rPr>
        <w:t>Evaluation</w:t>
      </w:r>
      <w:bookmarkEnd w:id="5"/>
    </w:p>
    <w:p w:rsidR="00C57C00" w:rsidRPr="009F0E4B" w:rsidRDefault="00A84D1D" w:rsidP="007E1EE2">
      <w:pPr>
        <w:rPr>
          <w:rFonts w:cstheme="minorHAnsi"/>
          <w:szCs w:val="24"/>
        </w:rPr>
      </w:pPr>
      <w:r>
        <w:rPr>
          <w:rFonts w:cstheme="minorHAnsi"/>
          <w:szCs w:val="24"/>
        </w:rPr>
        <w:t>Queen’s is m</w:t>
      </w:r>
      <w:r w:rsidRPr="009F0E4B">
        <w:rPr>
          <w:rFonts w:cstheme="minorHAnsi"/>
          <w:szCs w:val="24"/>
        </w:rPr>
        <w:t>eeting legislated timelines for implementation</w:t>
      </w:r>
      <w:r>
        <w:rPr>
          <w:rFonts w:cstheme="minorHAnsi"/>
          <w:szCs w:val="24"/>
        </w:rPr>
        <w:t>.</w:t>
      </w:r>
      <w:r w:rsidRPr="009F0E4B">
        <w:rPr>
          <w:rFonts w:cstheme="minorHAnsi"/>
          <w:szCs w:val="24"/>
        </w:rPr>
        <w:t xml:space="preserve"> </w:t>
      </w:r>
      <w:r w:rsidR="00E81508" w:rsidRPr="009F0E4B">
        <w:rPr>
          <w:rFonts w:cstheme="minorHAnsi"/>
          <w:szCs w:val="24"/>
        </w:rPr>
        <w:t xml:space="preserve">Listening to </w:t>
      </w:r>
      <w:r w:rsidR="00501071" w:rsidRPr="009F0E4B">
        <w:rPr>
          <w:rFonts w:cstheme="minorHAnsi"/>
          <w:szCs w:val="24"/>
        </w:rPr>
        <w:t xml:space="preserve">and acting upon </w:t>
      </w:r>
      <w:r w:rsidR="00E81508" w:rsidRPr="009F0E4B">
        <w:rPr>
          <w:rFonts w:cstheme="minorHAnsi"/>
          <w:szCs w:val="24"/>
        </w:rPr>
        <w:t xml:space="preserve">feedback is an integral part of the evaluation process. </w:t>
      </w:r>
      <w:proofErr w:type="gramStart"/>
      <w:r w:rsidR="00E81508" w:rsidRPr="009F0E4B">
        <w:rPr>
          <w:rFonts w:cstheme="minorHAnsi"/>
          <w:szCs w:val="24"/>
        </w:rPr>
        <w:t>Queen’s</w:t>
      </w:r>
      <w:proofErr w:type="gramEnd"/>
      <w:r w:rsidR="00E81508" w:rsidRPr="009F0E4B">
        <w:rPr>
          <w:rFonts w:cstheme="minorHAnsi"/>
          <w:szCs w:val="24"/>
        </w:rPr>
        <w:t xml:space="preserve"> will continue to review and expand engagement and consultation strategies</w:t>
      </w:r>
      <w:r w:rsidR="00A508C9" w:rsidRPr="009F0E4B">
        <w:rPr>
          <w:rFonts w:cstheme="minorHAnsi"/>
          <w:szCs w:val="24"/>
        </w:rPr>
        <w:t xml:space="preserve"> across campus and with the broader community, and especially with persons with disabilities.</w:t>
      </w:r>
    </w:p>
    <w:p w:rsidR="00A508C9" w:rsidRPr="009F0E4B" w:rsidRDefault="00A508C9" w:rsidP="007E1EE2">
      <w:pPr>
        <w:rPr>
          <w:rFonts w:cstheme="minorHAnsi"/>
          <w:szCs w:val="24"/>
        </w:rPr>
      </w:pPr>
      <w:r w:rsidRPr="009F0E4B">
        <w:rPr>
          <w:rFonts w:cstheme="minorHAnsi"/>
          <w:szCs w:val="24"/>
        </w:rPr>
        <w:t>Additional evaluation and reporting efforts include:</w:t>
      </w:r>
    </w:p>
    <w:p w:rsidR="00A508C9" w:rsidRPr="009F0E4B" w:rsidRDefault="00A508C9" w:rsidP="003D622D">
      <w:pPr>
        <w:pStyle w:val="ListParagraph"/>
        <w:numPr>
          <w:ilvl w:val="0"/>
          <w:numId w:val="4"/>
        </w:numPr>
        <w:rPr>
          <w:rFonts w:cstheme="minorHAnsi"/>
          <w:szCs w:val="24"/>
        </w:rPr>
      </w:pPr>
      <w:r w:rsidRPr="009F0E4B">
        <w:rPr>
          <w:rFonts w:cstheme="minorHAnsi"/>
          <w:szCs w:val="24"/>
        </w:rPr>
        <w:t>Annual review of the Plan and preparation of progress reports; posted online and available in alternate formats upon request</w:t>
      </w:r>
    </w:p>
    <w:p w:rsidR="00A508C9" w:rsidRPr="009F0E4B" w:rsidRDefault="00A508C9" w:rsidP="003D622D">
      <w:pPr>
        <w:pStyle w:val="ListParagraph"/>
        <w:numPr>
          <w:ilvl w:val="0"/>
          <w:numId w:val="4"/>
        </w:numPr>
        <w:rPr>
          <w:rFonts w:cstheme="minorHAnsi"/>
          <w:szCs w:val="24"/>
        </w:rPr>
      </w:pPr>
      <w:r w:rsidRPr="009F0E4B">
        <w:rPr>
          <w:rFonts w:cstheme="minorHAnsi"/>
          <w:szCs w:val="24"/>
        </w:rPr>
        <w:t>Compliance reports submitted to the Accessibility Directorate of Ontario, which regulates compliance for all Ontario organizations</w:t>
      </w:r>
    </w:p>
    <w:p w:rsidR="007F1246" w:rsidRPr="009F0E4B" w:rsidRDefault="00A84D1D" w:rsidP="003D622D">
      <w:pPr>
        <w:pStyle w:val="ListParagraph"/>
        <w:numPr>
          <w:ilvl w:val="0"/>
          <w:numId w:val="4"/>
        </w:numPr>
        <w:rPr>
          <w:rFonts w:cstheme="minorHAnsi"/>
          <w:szCs w:val="24"/>
        </w:rPr>
      </w:pPr>
      <w:r>
        <w:rPr>
          <w:rFonts w:cstheme="minorHAnsi"/>
          <w:szCs w:val="24"/>
        </w:rPr>
        <w:t>Feedback</w:t>
      </w:r>
      <w:r w:rsidR="007F1246" w:rsidRPr="009F0E4B">
        <w:rPr>
          <w:rFonts w:cstheme="minorHAnsi"/>
          <w:szCs w:val="24"/>
        </w:rPr>
        <w:t xml:space="preserve"> logged for internal performance assessment</w:t>
      </w:r>
      <w:r>
        <w:rPr>
          <w:rFonts w:cstheme="minorHAnsi"/>
          <w:szCs w:val="24"/>
        </w:rPr>
        <w:t>; d</w:t>
      </w:r>
      <w:r w:rsidR="007F1246" w:rsidRPr="009F0E4B">
        <w:rPr>
          <w:rFonts w:cstheme="minorHAnsi"/>
          <w:szCs w:val="24"/>
        </w:rPr>
        <w:t>ata from feedback is used to better prioritize and identify issues and barriers</w:t>
      </w:r>
    </w:p>
    <w:p w:rsidR="003674AE" w:rsidRPr="007222A4" w:rsidRDefault="007F1246" w:rsidP="007222A4">
      <w:pPr>
        <w:pStyle w:val="Heading2"/>
      </w:pPr>
      <w:bookmarkStart w:id="6" w:name="_Toc466287413"/>
      <w:r w:rsidRPr="007222A4">
        <w:t>Alignment and Coordination</w:t>
      </w:r>
      <w:bookmarkEnd w:id="6"/>
    </w:p>
    <w:p w:rsidR="003674AE" w:rsidRPr="009F0E4B" w:rsidRDefault="003674AE" w:rsidP="001D01B4">
      <w:pPr>
        <w:jc w:val="both"/>
        <w:rPr>
          <w:rFonts w:cstheme="minorHAnsi"/>
          <w:szCs w:val="24"/>
        </w:rPr>
      </w:pPr>
      <w:r w:rsidRPr="009F0E4B">
        <w:rPr>
          <w:rFonts w:cstheme="minorHAnsi"/>
          <w:szCs w:val="24"/>
        </w:rPr>
        <w:t xml:space="preserve">In order for the Plan to be successful with its implementation objectives, it is necessary for it to be aligned with other Queen’s strategic and guiding documents, policies, and </w:t>
      </w:r>
      <w:r w:rsidR="001D01B4" w:rsidRPr="009F0E4B">
        <w:rPr>
          <w:rFonts w:cstheme="minorHAnsi"/>
          <w:szCs w:val="24"/>
        </w:rPr>
        <w:t>procedures.</w:t>
      </w:r>
    </w:p>
    <w:p w:rsidR="001D01B4" w:rsidRPr="009F0E4B" w:rsidRDefault="001D01B4" w:rsidP="001D01B4">
      <w:pPr>
        <w:jc w:val="both"/>
        <w:rPr>
          <w:rFonts w:cstheme="minorHAnsi"/>
          <w:szCs w:val="24"/>
        </w:rPr>
      </w:pPr>
      <w:r w:rsidRPr="009F0E4B">
        <w:rPr>
          <w:rFonts w:cstheme="minorHAnsi"/>
          <w:szCs w:val="24"/>
        </w:rPr>
        <w:t xml:space="preserve">One example of how the university ensures alignment is the Policy Advisory Subcommittee that </w:t>
      </w:r>
      <w:r w:rsidR="004E200B">
        <w:rPr>
          <w:rFonts w:cstheme="minorHAnsi"/>
          <w:szCs w:val="24"/>
        </w:rPr>
        <w:t>reports to</w:t>
      </w:r>
      <w:r w:rsidRPr="009F0E4B">
        <w:rPr>
          <w:rFonts w:cstheme="minorHAnsi"/>
          <w:szCs w:val="24"/>
        </w:rPr>
        <w:t xml:space="preserve"> the Vice-Principals’ Operations Committee. Its purpose is to ensure consistency and coordination in the development</w:t>
      </w:r>
      <w:r w:rsidR="00455684" w:rsidRPr="009F0E4B">
        <w:rPr>
          <w:rFonts w:cstheme="minorHAnsi"/>
          <w:szCs w:val="24"/>
        </w:rPr>
        <w:t xml:space="preserve">, approval, and administration of all policies that have university-wide implications. </w:t>
      </w:r>
      <w:r w:rsidR="00F52862">
        <w:rPr>
          <w:rFonts w:cstheme="minorHAnsi"/>
          <w:szCs w:val="24"/>
        </w:rPr>
        <w:t>P</w:t>
      </w:r>
      <w:r w:rsidR="00455684" w:rsidRPr="009F0E4B">
        <w:rPr>
          <w:rFonts w:cstheme="minorHAnsi"/>
          <w:szCs w:val="24"/>
        </w:rPr>
        <w:t xml:space="preserve">olicies, procedures, </w:t>
      </w:r>
      <w:r w:rsidR="00F52862">
        <w:rPr>
          <w:rFonts w:cstheme="minorHAnsi"/>
          <w:szCs w:val="24"/>
        </w:rPr>
        <w:t>and/</w:t>
      </w:r>
      <w:r w:rsidR="00455684" w:rsidRPr="009F0E4B">
        <w:rPr>
          <w:rFonts w:cstheme="minorHAnsi"/>
          <w:szCs w:val="24"/>
        </w:rPr>
        <w:t xml:space="preserve">or guidelines are recommended for approval </w:t>
      </w:r>
      <w:r w:rsidR="00F52862">
        <w:rPr>
          <w:rFonts w:cstheme="minorHAnsi"/>
          <w:szCs w:val="24"/>
        </w:rPr>
        <w:t>only when</w:t>
      </w:r>
      <w:r w:rsidR="00455684" w:rsidRPr="009F0E4B">
        <w:rPr>
          <w:rFonts w:cstheme="minorHAnsi"/>
          <w:szCs w:val="24"/>
        </w:rPr>
        <w:t xml:space="preserve"> the committee is satisfied that there are no adverse implications for accessibility, equity, and human rights.</w:t>
      </w:r>
    </w:p>
    <w:p w:rsidR="00455684" w:rsidRPr="009F0E4B" w:rsidRDefault="00455684" w:rsidP="001D01B4">
      <w:pPr>
        <w:jc w:val="both"/>
        <w:rPr>
          <w:rFonts w:cstheme="minorHAnsi"/>
          <w:szCs w:val="24"/>
        </w:rPr>
      </w:pPr>
      <w:r w:rsidRPr="009F0E4B">
        <w:rPr>
          <w:rFonts w:cstheme="minorHAnsi"/>
          <w:szCs w:val="24"/>
        </w:rPr>
        <w:t>Queen’s recognizes that accessibility plays a large role in realizing its vision of being a research-intensive university with a transformative student learning experience.</w:t>
      </w:r>
      <w:r w:rsidR="00880E03" w:rsidRPr="009F0E4B">
        <w:rPr>
          <w:rFonts w:cstheme="minorHAnsi"/>
          <w:szCs w:val="24"/>
        </w:rPr>
        <w:t xml:space="preserve"> Accessibility is an integral part of our strategic planning and operational processes.</w:t>
      </w:r>
    </w:p>
    <w:p w:rsidR="00554DD7" w:rsidRPr="007222A4" w:rsidRDefault="0098750C" w:rsidP="007222A4">
      <w:pPr>
        <w:pStyle w:val="Heading2"/>
      </w:pPr>
      <w:bookmarkStart w:id="7" w:name="_Toc466287414"/>
      <w:r w:rsidRPr="008D5511">
        <w:t xml:space="preserve">Queen’s </w:t>
      </w:r>
      <w:r w:rsidR="00890A9E" w:rsidRPr="008D5511">
        <w:t>University</w:t>
      </w:r>
      <w:r w:rsidR="000163BE">
        <w:t>’s</w:t>
      </w:r>
      <w:r w:rsidR="00890A9E" w:rsidRPr="008D5511">
        <w:t xml:space="preserve"> Comprehensive Strategic Framework for </w:t>
      </w:r>
      <w:r w:rsidR="003E1AFB" w:rsidRPr="008D5511">
        <w:t>Accessibility</w:t>
      </w:r>
      <w:bookmarkEnd w:id="1"/>
      <w:bookmarkEnd w:id="2"/>
      <w:bookmarkEnd w:id="7"/>
    </w:p>
    <w:p w:rsidR="00314527" w:rsidRPr="007222A4" w:rsidRDefault="00314527" w:rsidP="00314527">
      <w:pPr>
        <w:rPr>
          <w:bCs/>
        </w:rPr>
      </w:pPr>
      <w:r w:rsidRPr="007222A4">
        <w:t xml:space="preserve">Since its inception, the </w:t>
      </w:r>
      <w:hyperlink r:id="rId20" w:history="1">
        <w:r w:rsidRPr="007222A4">
          <w:rPr>
            <w:rStyle w:val="Hyperlink"/>
          </w:rPr>
          <w:t>Comprehensive Strategic Framework for Accessibility</w:t>
        </w:r>
      </w:hyperlink>
      <w:r w:rsidRPr="007222A4">
        <w:t xml:space="preserve"> (“Accessibility Framework”) </w:t>
      </w:r>
      <w:proofErr w:type="gramStart"/>
      <w:r w:rsidRPr="007222A4">
        <w:rPr>
          <w:bCs/>
        </w:rPr>
        <w:t>was conceived to be comprised</w:t>
      </w:r>
      <w:proofErr w:type="gramEnd"/>
      <w:r w:rsidRPr="007222A4">
        <w:rPr>
          <w:bCs/>
        </w:rPr>
        <w:t xml:space="preserve"> of two phases:</w:t>
      </w:r>
    </w:p>
    <w:p w:rsidR="00314527" w:rsidRPr="007222A4" w:rsidRDefault="00314527" w:rsidP="00314527">
      <w:pPr>
        <w:pStyle w:val="ListParagraph"/>
        <w:numPr>
          <w:ilvl w:val="0"/>
          <w:numId w:val="31"/>
        </w:numPr>
        <w:spacing w:before="120"/>
      </w:pPr>
      <w:r w:rsidRPr="007222A4">
        <w:rPr>
          <w:b/>
        </w:rPr>
        <w:t>Phase One</w:t>
      </w:r>
      <w:r w:rsidRPr="007222A4">
        <w:t xml:space="preserve"> - Compliance</w:t>
      </w:r>
    </w:p>
    <w:p w:rsidR="00314527" w:rsidRPr="007222A4" w:rsidRDefault="00314527" w:rsidP="00314527">
      <w:pPr>
        <w:pStyle w:val="ListParagraph"/>
        <w:numPr>
          <w:ilvl w:val="0"/>
          <w:numId w:val="31"/>
        </w:numPr>
        <w:spacing w:before="120"/>
      </w:pPr>
      <w:r w:rsidRPr="007222A4">
        <w:rPr>
          <w:b/>
        </w:rPr>
        <w:t>Phase Two</w:t>
      </w:r>
      <w:r w:rsidRPr="007222A4">
        <w:t xml:space="preserve"> – Competency </w:t>
      </w:r>
    </w:p>
    <w:p w:rsidR="008965DD" w:rsidRDefault="00314527" w:rsidP="008965DD">
      <w:r w:rsidRPr="007222A4">
        <w:lastRenderedPageBreak/>
        <w:t xml:space="preserve">During the </w:t>
      </w:r>
      <w:proofErr w:type="gramStart"/>
      <w:r w:rsidRPr="007222A4">
        <w:t>Fall</w:t>
      </w:r>
      <w:proofErr w:type="gramEnd"/>
      <w:r w:rsidRPr="007222A4">
        <w:t xml:space="preserve"> of 2015, some Working Groups in the Accessibility Framework were placed on hiatus as their identified priorities achieved compliance of AODA requirements.</w:t>
      </w:r>
      <w:bookmarkStart w:id="8" w:name="_Toc327799009"/>
      <w:bookmarkStart w:id="9" w:name="_Toc327799170"/>
    </w:p>
    <w:p w:rsidR="00314527" w:rsidRDefault="00314527" w:rsidP="007222A4">
      <w:pPr>
        <w:pStyle w:val="Heading3"/>
      </w:pPr>
      <w:bookmarkStart w:id="10" w:name="_Toc466287415"/>
      <w:r>
        <w:t>Phase One</w:t>
      </w:r>
      <w:r w:rsidR="007222A4">
        <w:t xml:space="preserve"> - Compliance</w:t>
      </w:r>
      <w:bookmarkEnd w:id="10"/>
    </w:p>
    <w:p w:rsidR="007E50D5" w:rsidRPr="009F0E4B" w:rsidRDefault="007E50D5" w:rsidP="007E50D5">
      <w:pPr>
        <w:pStyle w:val="NormalWeb"/>
        <w:spacing w:before="0" w:beforeAutospacing="0" w:after="307" w:afterAutospacing="0"/>
        <w:textAlignment w:val="baseline"/>
        <w:rPr>
          <w:rFonts w:asciiTheme="minorHAnsi" w:hAnsiTheme="minorHAnsi" w:cstheme="minorHAnsi"/>
          <w:color w:val="313335"/>
        </w:rPr>
      </w:pPr>
      <w:r w:rsidRPr="009F0E4B">
        <w:rPr>
          <w:rFonts w:asciiTheme="minorHAnsi" w:hAnsiTheme="minorHAnsi" w:cstheme="minorHAnsi"/>
          <w:color w:val="313335"/>
        </w:rPr>
        <w:t xml:space="preserve">The </w:t>
      </w:r>
      <w:hyperlink r:id="rId21" w:history="1">
        <w:r w:rsidR="00417431" w:rsidRPr="00417431">
          <w:rPr>
            <w:rStyle w:val="Hyperlink"/>
          </w:rPr>
          <w:t>Comprehensive Strategic Framework for Accessibility</w:t>
        </w:r>
      </w:hyperlink>
      <w:r w:rsidRPr="009F0E4B">
        <w:rPr>
          <w:rFonts w:asciiTheme="minorHAnsi" w:hAnsiTheme="minorHAnsi" w:cstheme="minorHAnsi"/>
          <w:color w:val="313335"/>
        </w:rPr>
        <w:t xml:space="preserve"> </w:t>
      </w:r>
      <w:r w:rsidR="00901EA2" w:rsidRPr="009F0E4B">
        <w:rPr>
          <w:rFonts w:asciiTheme="minorHAnsi" w:hAnsiTheme="minorHAnsi" w:cstheme="minorHAnsi"/>
          <w:color w:val="313335"/>
        </w:rPr>
        <w:t xml:space="preserve">(“Accessibility Framework”) </w:t>
      </w:r>
      <w:r w:rsidR="00CD61F7" w:rsidRPr="009F0E4B">
        <w:rPr>
          <w:rFonts w:asciiTheme="minorHAnsi" w:hAnsiTheme="minorHAnsi" w:cstheme="minorHAnsi"/>
          <w:color w:val="313335"/>
        </w:rPr>
        <w:t>enables the</w:t>
      </w:r>
      <w:r w:rsidRPr="009F0E4B">
        <w:rPr>
          <w:rFonts w:asciiTheme="minorHAnsi" w:hAnsiTheme="minorHAnsi" w:cstheme="minorHAnsi"/>
          <w:color w:val="313335"/>
        </w:rPr>
        <w:t xml:space="preserve"> develop</w:t>
      </w:r>
      <w:r w:rsidR="00CD61F7" w:rsidRPr="009F0E4B">
        <w:rPr>
          <w:rFonts w:asciiTheme="minorHAnsi" w:hAnsiTheme="minorHAnsi" w:cstheme="minorHAnsi"/>
          <w:color w:val="313335"/>
        </w:rPr>
        <w:t>ment</w:t>
      </w:r>
      <w:r w:rsidR="00432612" w:rsidRPr="009F0E4B">
        <w:rPr>
          <w:rFonts w:asciiTheme="minorHAnsi" w:hAnsiTheme="minorHAnsi" w:cstheme="minorHAnsi"/>
          <w:color w:val="313335"/>
        </w:rPr>
        <w:t xml:space="preserve"> and implement</w:t>
      </w:r>
      <w:r w:rsidR="00CD61F7" w:rsidRPr="009F0E4B">
        <w:rPr>
          <w:rFonts w:asciiTheme="minorHAnsi" w:hAnsiTheme="minorHAnsi" w:cstheme="minorHAnsi"/>
          <w:color w:val="313335"/>
        </w:rPr>
        <w:t>ation of</w:t>
      </w:r>
      <w:r w:rsidRPr="009F0E4B">
        <w:rPr>
          <w:rFonts w:asciiTheme="minorHAnsi" w:hAnsiTheme="minorHAnsi" w:cstheme="minorHAnsi"/>
          <w:color w:val="313335"/>
        </w:rPr>
        <w:t xml:space="preserve"> an Accessibility Plan that serves the university in the following ways:</w:t>
      </w:r>
    </w:p>
    <w:p w:rsidR="007E50D5" w:rsidRPr="009F0E4B" w:rsidRDefault="007E50D5" w:rsidP="003D622D">
      <w:pPr>
        <w:pStyle w:val="ListParagraph"/>
        <w:numPr>
          <w:ilvl w:val="0"/>
          <w:numId w:val="5"/>
        </w:numPr>
        <w:spacing w:after="0" w:line="240" w:lineRule="auto"/>
        <w:textAlignment w:val="baseline"/>
        <w:rPr>
          <w:rFonts w:cstheme="minorHAnsi"/>
          <w:color w:val="313335"/>
          <w:szCs w:val="24"/>
        </w:rPr>
      </w:pPr>
      <w:r w:rsidRPr="009F0E4B">
        <w:rPr>
          <w:rFonts w:cstheme="minorHAnsi"/>
          <w:color w:val="313335"/>
          <w:szCs w:val="24"/>
        </w:rPr>
        <w:t>To develop plans to address accessibility in five priority areas</w:t>
      </w:r>
    </w:p>
    <w:p w:rsidR="007E50D5" w:rsidRPr="009F0E4B" w:rsidRDefault="007E50D5" w:rsidP="003D622D">
      <w:pPr>
        <w:numPr>
          <w:ilvl w:val="0"/>
          <w:numId w:val="5"/>
        </w:numPr>
        <w:spacing w:after="0" w:line="240" w:lineRule="auto"/>
        <w:textAlignment w:val="baseline"/>
        <w:rPr>
          <w:rFonts w:cstheme="minorHAnsi"/>
          <w:color w:val="313335"/>
          <w:szCs w:val="24"/>
        </w:rPr>
      </w:pPr>
      <w:r w:rsidRPr="009F0E4B">
        <w:rPr>
          <w:rFonts w:cstheme="minorHAnsi"/>
          <w:color w:val="313335"/>
          <w:szCs w:val="24"/>
        </w:rPr>
        <w:t>To establish shared accountability and responsibility for accessibility for persons with disabilities at Queen's, including funding accessibility-related expenses through standard operating budgets and identifying o</w:t>
      </w:r>
      <w:r w:rsidR="00BE2C5C" w:rsidRPr="009F0E4B">
        <w:rPr>
          <w:rFonts w:cstheme="minorHAnsi"/>
          <w:color w:val="313335"/>
          <w:szCs w:val="24"/>
        </w:rPr>
        <w:t>ther sources of revenue streams</w:t>
      </w:r>
    </w:p>
    <w:p w:rsidR="007E50D5" w:rsidRPr="009F0E4B" w:rsidRDefault="007E50D5" w:rsidP="003D622D">
      <w:pPr>
        <w:numPr>
          <w:ilvl w:val="0"/>
          <w:numId w:val="5"/>
        </w:numPr>
        <w:spacing w:after="0" w:line="240" w:lineRule="auto"/>
        <w:textAlignment w:val="baseline"/>
        <w:rPr>
          <w:rFonts w:cstheme="minorHAnsi"/>
          <w:color w:val="313335"/>
          <w:szCs w:val="24"/>
        </w:rPr>
      </w:pPr>
      <w:r w:rsidRPr="009F0E4B">
        <w:rPr>
          <w:rFonts w:cstheme="minorHAnsi"/>
          <w:color w:val="313335"/>
          <w:szCs w:val="24"/>
        </w:rPr>
        <w:t>To provide educational opportunities about accessibility to improve understanding of accessibility issues and the university obligati</w:t>
      </w:r>
      <w:r w:rsidR="00BE2C5C" w:rsidRPr="009F0E4B">
        <w:rPr>
          <w:rFonts w:cstheme="minorHAnsi"/>
          <w:color w:val="313335"/>
          <w:szCs w:val="24"/>
        </w:rPr>
        <w:t>ons in accessibility compliance</w:t>
      </w:r>
    </w:p>
    <w:p w:rsidR="007E50D5" w:rsidRPr="009F0E4B" w:rsidRDefault="007E50D5" w:rsidP="003D622D">
      <w:pPr>
        <w:numPr>
          <w:ilvl w:val="0"/>
          <w:numId w:val="5"/>
        </w:numPr>
        <w:spacing w:after="0" w:line="240" w:lineRule="auto"/>
        <w:textAlignment w:val="baseline"/>
        <w:rPr>
          <w:rFonts w:cstheme="minorHAnsi"/>
          <w:color w:val="313335"/>
          <w:szCs w:val="24"/>
        </w:rPr>
      </w:pPr>
      <w:r w:rsidRPr="009F0E4B">
        <w:rPr>
          <w:rFonts w:cstheme="minorHAnsi"/>
          <w:color w:val="313335"/>
          <w:szCs w:val="24"/>
        </w:rPr>
        <w:t>To continue efforts to incorporate accessibility issues in u</w:t>
      </w:r>
      <w:r w:rsidR="00BE2C5C" w:rsidRPr="009F0E4B">
        <w:rPr>
          <w:rFonts w:cstheme="minorHAnsi"/>
          <w:color w:val="313335"/>
          <w:szCs w:val="24"/>
        </w:rPr>
        <w:t>niversity diversity initiatives</w:t>
      </w:r>
    </w:p>
    <w:p w:rsidR="00BE2C5C" w:rsidRPr="009F0E4B" w:rsidRDefault="00BE2C5C" w:rsidP="007E50D5">
      <w:pPr>
        <w:pStyle w:val="NormalWeb"/>
        <w:spacing w:before="0" w:beforeAutospacing="0" w:after="307" w:afterAutospacing="0"/>
        <w:textAlignment w:val="baseline"/>
        <w:rPr>
          <w:rFonts w:asciiTheme="minorHAnsi" w:hAnsiTheme="minorHAnsi" w:cstheme="minorHAnsi"/>
          <w:color w:val="313335"/>
        </w:rPr>
      </w:pPr>
    </w:p>
    <w:bookmarkEnd w:id="8"/>
    <w:bookmarkEnd w:id="9"/>
    <w:p w:rsidR="006762DF" w:rsidRDefault="00D45068" w:rsidP="006762DF">
      <w:pPr>
        <w:keepNext/>
        <w:jc w:val="both"/>
      </w:pPr>
      <w:r>
        <w:rPr>
          <w:noProof/>
          <w:lang w:eastAsia="en-CA"/>
        </w:rPr>
        <w:drawing>
          <wp:inline distT="0" distB="0" distL="0" distR="0" wp14:anchorId="756CC3F6" wp14:editId="68A69B51">
            <wp:extent cx="5943102" cy="2790825"/>
            <wp:effectExtent l="0" t="0" r="635" b="0"/>
            <wp:docPr id="1" name="Picture 1" descr="Reporting Structure of Accessibility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ECA7F.E7134460"/>
                    <pic:cNvPicPr>
                      <a:picLocks noChangeAspect="1" noChangeArrowheads="1"/>
                    </pic:cNvPicPr>
                  </pic:nvPicPr>
                  <pic:blipFill rotWithShape="1">
                    <a:blip r:embed="rId22" r:link="rId23">
                      <a:extLst>
                        <a:ext uri="{28A0092B-C50C-407E-A947-70E740481C1C}">
                          <a14:useLocalDpi xmlns:a14="http://schemas.microsoft.com/office/drawing/2010/main" val="0"/>
                        </a:ext>
                      </a:extLst>
                    </a:blip>
                    <a:srcRect b="6090"/>
                    <a:stretch/>
                  </pic:blipFill>
                  <pic:spPr bwMode="auto">
                    <a:xfrm>
                      <a:off x="0" y="0"/>
                      <a:ext cx="5943600" cy="2791059"/>
                    </a:xfrm>
                    <a:prstGeom prst="rect">
                      <a:avLst/>
                    </a:prstGeom>
                    <a:noFill/>
                    <a:ln>
                      <a:noFill/>
                    </a:ln>
                    <a:extLst>
                      <a:ext uri="{53640926-AAD7-44D8-BBD7-CCE9431645EC}">
                        <a14:shadowObscured xmlns:a14="http://schemas.microsoft.com/office/drawing/2010/main"/>
                      </a:ext>
                    </a:extLst>
                  </pic:spPr>
                </pic:pic>
              </a:graphicData>
            </a:graphic>
          </wp:inline>
        </w:drawing>
      </w:r>
    </w:p>
    <w:p w:rsidR="00092444" w:rsidRPr="006762DF" w:rsidRDefault="006762DF" w:rsidP="006762DF">
      <w:pPr>
        <w:pStyle w:val="Caption"/>
        <w:jc w:val="both"/>
        <w:rPr>
          <w:rFonts w:cstheme="minorHAnsi"/>
          <w:color w:val="auto"/>
          <w:sz w:val="24"/>
          <w:szCs w:val="24"/>
        </w:rPr>
      </w:pPr>
      <w:r w:rsidRPr="009A5458">
        <w:rPr>
          <w:b/>
          <w:color w:val="auto"/>
          <w:sz w:val="24"/>
          <w:szCs w:val="24"/>
        </w:rPr>
        <w:t xml:space="preserve">Figure </w:t>
      </w:r>
      <w:r w:rsidRPr="009A5458">
        <w:rPr>
          <w:b/>
          <w:color w:val="auto"/>
          <w:sz w:val="24"/>
          <w:szCs w:val="24"/>
        </w:rPr>
        <w:fldChar w:fldCharType="begin"/>
      </w:r>
      <w:r w:rsidRPr="009A5458">
        <w:rPr>
          <w:b/>
          <w:color w:val="auto"/>
          <w:sz w:val="24"/>
          <w:szCs w:val="24"/>
        </w:rPr>
        <w:instrText xml:space="preserve"> SEQ Figure \* ARABIC </w:instrText>
      </w:r>
      <w:r w:rsidRPr="009A5458">
        <w:rPr>
          <w:b/>
          <w:color w:val="auto"/>
          <w:sz w:val="24"/>
          <w:szCs w:val="24"/>
        </w:rPr>
        <w:fldChar w:fldCharType="separate"/>
      </w:r>
      <w:r w:rsidR="00277BA5">
        <w:rPr>
          <w:b/>
          <w:noProof/>
          <w:color w:val="auto"/>
          <w:sz w:val="24"/>
          <w:szCs w:val="24"/>
        </w:rPr>
        <w:t>1</w:t>
      </w:r>
      <w:r w:rsidRPr="009A5458">
        <w:rPr>
          <w:b/>
          <w:color w:val="auto"/>
          <w:sz w:val="24"/>
          <w:szCs w:val="24"/>
        </w:rPr>
        <w:fldChar w:fldCharType="end"/>
      </w:r>
      <w:r w:rsidRPr="006762DF">
        <w:rPr>
          <w:color w:val="auto"/>
          <w:sz w:val="24"/>
          <w:szCs w:val="24"/>
        </w:rPr>
        <w:t>-</w:t>
      </w:r>
      <w:r w:rsidR="00605F1C">
        <w:rPr>
          <w:color w:val="auto"/>
          <w:sz w:val="24"/>
          <w:szCs w:val="24"/>
        </w:rPr>
        <w:t xml:space="preserve"> Phase One</w:t>
      </w:r>
      <w:r w:rsidRPr="006762DF">
        <w:rPr>
          <w:color w:val="auto"/>
          <w:sz w:val="24"/>
          <w:szCs w:val="24"/>
        </w:rPr>
        <w:t xml:space="preserve"> Reporting Structure of Accessibility Framework</w:t>
      </w:r>
    </w:p>
    <w:p w:rsidR="00432612" w:rsidRPr="009F0E4B" w:rsidRDefault="00432612" w:rsidP="00432612">
      <w:pPr>
        <w:jc w:val="both"/>
        <w:rPr>
          <w:rFonts w:cstheme="minorHAnsi"/>
          <w:szCs w:val="24"/>
        </w:rPr>
      </w:pPr>
      <w:r w:rsidRPr="009F0E4B">
        <w:rPr>
          <w:rFonts w:cstheme="minorHAnsi"/>
          <w:szCs w:val="24"/>
        </w:rPr>
        <w:t xml:space="preserve">The five Working Groups are comprised of members with direct responsibility and expertise as it pertains to accessibility requirements and identified priorities. Each Group also has a member that self-identifies as </w:t>
      </w:r>
      <w:r w:rsidR="00CD61F7" w:rsidRPr="009F0E4B">
        <w:rPr>
          <w:rFonts w:cstheme="minorHAnsi"/>
          <w:szCs w:val="24"/>
        </w:rPr>
        <w:t>living with</w:t>
      </w:r>
      <w:r w:rsidRPr="009F0E4B">
        <w:rPr>
          <w:rFonts w:cstheme="minorHAnsi"/>
          <w:szCs w:val="24"/>
        </w:rPr>
        <w:t xml:space="preserve"> a disability and </w:t>
      </w:r>
      <w:r w:rsidR="00CD61F7" w:rsidRPr="009F0E4B">
        <w:rPr>
          <w:rFonts w:cstheme="minorHAnsi"/>
          <w:szCs w:val="24"/>
        </w:rPr>
        <w:t>holds</w:t>
      </w:r>
      <w:r w:rsidRPr="009F0E4B">
        <w:rPr>
          <w:rFonts w:cstheme="minorHAnsi"/>
          <w:szCs w:val="24"/>
        </w:rPr>
        <w:t xml:space="preserve"> </w:t>
      </w:r>
      <w:r w:rsidR="000C6989" w:rsidRPr="009F0E4B">
        <w:rPr>
          <w:rFonts w:cstheme="minorHAnsi"/>
          <w:szCs w:val="24"/>
        </w:rPr>
        <w:t>a particular</w:t>
      </w:r>
      <w:r w:rsidRPr="009F0E4B">
        <w:rPr>
          <w:rFonts w:cstheme="minorHAnsi"/>
          <w:szCs w:val="24"/>
        </w:rPr>
        <w:t xml:space="preserve"> interest in the Group’s area </w:t>
      </w:r>
      <w:r w:rsidR="000C6989" w:rsidRPr="009F0E4B">
        <w:rPr>
          <w:rFonts w:cstheme="minorHAnsi"/>
          <w:szCs w:val="24"/>
        </w:rPr>
        <w:t>of focus</w:t>
      </w:r>
      <w:r w:rsidRPr="009F0E4B">
        <w:rPr>
          <w:rFonts w:cstheme="minorHAnsi"/>
          <w:szCs w:val="24"/>
        </w:rPr>
        <w:t xml:space="preserve">. </w:t>
      </w:r>
    </w:p>
    <w:p w:rsidR="00417431" w:rsidRPr="002B72A2" w:rsidRDefault="002D365D" w:rsidP="003D622D">
      <w:pPr>
        <w:pStyle w:val="ListParagraph"/>
        <w:numPr>
          <w:ilvl w:val="0"/>
          <w:numId w:val="6"/>
        </w:numPr>
        <w:jc w:val="both"/>
        <w:rPr>
          <w:rFonts w:cstheme="minorHAnsi"/>
          <w:szCs w:val="24"/>
        </w:rPr>
      </w:pPr>
      <w:hyperlink r:id="rId24" w:history="1">
        <w:r w:rsidR="00417431" w:rsidRPr="00E73745">
          <w:rPr>
            <w:rStyle w:val="Hyperlink"/>
            <w:rFonts w:cstheme="minorHAnsi"/>
            <w:szCs w:val="24"/>
          </w:rPr>
          <w:t>Policy Advisory Working Group</w:t>
        </w:r>
      </w:hyperlink>
    </w:p>
    <w:p w:rsidR="00417431" w:rsidRPr="002B72A2" w:rsidRDefault="002D365D" w:rsidP="003D622D">
      <w:pPr>
        <w:pStyle w:val="ListParagraph"/>
        <w:numPr>
          <w:ilvl w:val="0"/>
          <w:numId w:val="6"/>
        </w:numPr>
        <w:jc w:val="both"/>
        <w:rPr>
          <w:rFonts w:cstheme="minorHAnsi"/>
          <w:szCs w:val="24"/>
        </w:rPr>
      </w:pPr>
      <w:hyperlink r:id="rId25" w:history="1">
        <w:r w:rsidR="00417431" w:rsidRPr="00E73745">
          <w:rPr>
            <w:rStyle w:val="Hyperlink"/>
            <w:szCs w:val="24"/>
          </w:rPr>
          <w:t>Information and Communications Working Group</w:t>
        </w:r>
      </w:hyperlink>
      <w:hyperlink r:id="rId26" w:history="1"/>
    </w:p>
    <w:p w:rsidR="00417431" w:rsidRPr="002B72A2" w:rsidRDefault="002D365D" w:rsidP="003D622D">
      <w:pPr>
        <w:pStyle w:val="ListParagraph"/>
        <w:numPr>
          <w:ilvl w:val="0"/>
          <w:numId w:val="6"/>
        </w:numPr>
        <w:jc w:val="both"/>
        <w:rPr>
          <w:rFonts w:cstheme="minorHAnsi"/>
          <w:szCs w:val="24"/>
        </w:rPr>
      </w:pPr>
      <w:hyperlink r:id="rId27" w:history="1">
        <w:r w:rsidR="00417431" w:rsidRPr="00E73745">
          <w:rPr>
            <w:rStyle w:val="Hyperlink"/>
            <w:szCs w:val="24"/>
          </w:rPr>
          <w:t>Employment Working Group</w:t>
        </w:r>
      </w:hyperlink>
      <w:hyperlink r:id="rId28" w:history="1"/>
    </w:p>
    <w:p w:rsidR="00417431" w:rsidRPr="002B72A2" w:rsidRDefault="002D365D" w:rsidP="003D622D">
      <w:pPr>
        <w:pStyle w:val="ListParagraph"/>
        <w:numPr>
          <w:ilvl w:val="0"/>
          <w:numId w:val="6"/>
        </w:numPr>
        <w:jc w:val="both"/>
        <w:rPr>
          <w:rFonts w:cstheme="minorHAnsi"/>
          <w:szCs w:val="24"/>
        </w:rPr>
      </w:pPr>
      <w:hyperlink r:id="rId29" w:history="1">
        <w:r w:rsidR="00417431" w:rsidRPr="00E73745">
          <w:rPr>
            <w:rStyle w:val="Hyperlink"/>
            <w:szCs w:val="24"/>
          </w:rPr>
          <w:t>Built Environment Working Group</w:t>
        </w:r>
      </w:hyperlink>
      <w:hyperlink r:id="rId30" w:history="1"/>
    </w:p>
    <w:p w:rsidR="00417431" w:rsidRPr="002B72A2" w:rsidRDefault="002D365D" w:rsidP="003D622D">
      <w:pPr>
        <w:pStyle w:val="ListParagraph"/>
        <w:numPr>
          <w:ilvl w:val="0"/>
          <w:numId w:val="6"/>
        </w:numPr>
        <w:jc w:val="both"/>
        <w:rPr>
          <w:rFonts w:cstheme="minorHAnsi"/>
          <w:szCs w:val="24"/>
        </w:rPr>
      </w:pPr>
      <w:hyperlink r:id="rId31" w:history="1">
        <w:r w:rsidR="00417431" w:rsidRPr="00E73745">
          <w:rPr>
            <w:rStyle w:val="Hyperlink"/>
            <w:szCs w:val="24"/>
          </w:rPr>
          <w:t>Education, Training, and Awareness Working Group</w:t>
        </w:r>
      </w:hyperlink>
      <w:hyperlink r:id="rId32" w:history="1"/>
    </w:p>
    <w:p w:rsidR="00CD61F7" w:rsidRDefault="00CD61F7" w:rsidP="00CD61F7">
      <w:pPr>
        <w:jc w:val="both"/>
        <w:rPr>
          <w:rFonts w:cstheme="minorHAnsi"/>
          <w:szCs w:val="24"/>
        </w:rPr>
      </w:pPr>
      <w:proofErr w:type="gramStart"/>
      <w:r w:rsidRPr="009F0E4B">
        <w:rPr>
          <w:rFonts w:cstheme="minorHAnsi"/>
          <w:szCs w:val="24"/>
        </w:rPr>
        <w:t xml:space="preserve">The </w:t>
      </w:r>
      <w:r w:rsidR="00417431" w:rsidRPr="00EA6B27">
        <w:rPr>
          <w:rFonts w:cstheme="minorHAnsi"/>
          <w:szCs w:val="24"/>
        </w:rPr>
        <w:t xml:space="preserve"> </w:t>
      </w:r>
      <w:proofErr w:type="gramEnd"/>
      <w:r w:rsidR="002D365D">
        <w:fldChar w:fldCharType="begin"/>
      </w:r>
      <w:r w:rsidR="002D365D">
        <w:instrText xml:space="preserve"> HYPERLINK "http://www.queensu.ca/equity/accessibility/framework/coordination-team" </w:instrText>
      </w:r>
      <w:r w:rsidR="002D365D">
        <w:fldChar w:fldCharType="separate"/>
      </w:r>
      <w:r w:rsidR="00417431" w:rsidRPr="00EA6B27">
        <w:rPr>
          <w:rStyle w:val="Hyperlink"/>
          <w:rFonts w:cstheme="minorHAnsi"/>
          <w:szCs w:val="24"/>
        </w:rPr>
        <w:t>Accessibility Coordination Team</w:t>
      </w:r>
      <w:r w:rsidR="002D365D">
        <w:rPr>
          <w:rStyle w:val="Hyperlink"/>
          <w:rFonts w:cstheme="minorHAnsi"/>
          <w:szCs w:val="24"/>
        </w:rPr>
        <w:fldChar w:fldCharType="end"/>
      </w:r>
      <w:r w:rsidR="00417431">
        <w:rPr>
          <w:rStyle w:val="Hyperlink"/>
          <w:rFonts w:cstheme="minorHAnsi"/>
          <w:szCs w:val="24"/>
        </w:rPr>
        <w:t xml:space="preserve"> </w:t>
      </w:r>
      <w:r w:rsidR="00EA2451">
        <w:rPr>
          <w:rFonts w:cstheme="minorHAnsi"/>
          <w:szCs w:val="24"/>
        </w:rPr>
        <w:t xml:space="preserve">comprised of the Leads of each working group, </w:t>
      </w:r>
      <w:r w:rsidRPr="009F0E4B">
        <w:rPr>
          <w:rFonts w:cstheme="minorHAnsi"/>
          <w:szCs w:val="24"/>
        </w:rPr>
        <w:t xml:space="preserve">provides a harmonized effort and is responsible for the development of comprehensive and integrated Accessibility Plans. The </w:t>
      </w:r>
      <w:hyperlink r:id="rId33" w:history="1">
        <w:r w:rsidR="00417431" w:rsidRPr="0016690C">
          <w:rPr>
            <w:rStyle w:val="Hyperlink"/>
            <w:rFonts w:cstheme="minorHAnsi"/>
            <w:szCs w:val="24"/>
          </w:rPr>
          <w:t>Operational Review Committee</w:t>
        </w:r>
      </w:hyperlink>
      <w:r w:rsidRPr="009F0E4B">
        <w:rPr>
          <w:rFonts w:cstheme="minorHAnsi"/>
          <w:szCs w:val="24"/>
        </w:rPr>
        <w:t xml:space="preserve"> </w:t>
      </w:r>
      <w:r w:rsidR="00222D92">
        <w:rPr>
          <w:rFonts w:cstheme="minorHAnsi"/>
          <w:szCs w:val="24"/>
        </w:rPr>
        <w:t>reviews all accessibility initiatives at the request of the Vice-Principals’ Operations Committee</w:t>
      </w:r>
      <w:r w:rsidRPr="009F0E4B">
        <w:rPr>
          <w:rFonts w:cstheme="minorHAnsi"/>
          <w:szCs w:val="24"/>
        </w:rPr>
        <w:t xml:space="preserve">, </w:t>
      </w:r>
      <w:r w:rsidR="00222D92">
        <w:rPr>
          <w:rFonts w:cstheme="minorHAnsi"/>
          <w:szCs w:val="24"/>
        </w:rPr>
        <w:t xml:space="preserve">thus ensuring institutional-wide considerations are discussed. </w:t>
      </w:r>
      <w:r w:rsidRPr="009F0E4B">
        <w:rPr>
          <w:rFonts w:cstheme="minorHAnsi"/>
          <w:szCs w:val="24"/>
        </w:rPr>
        <w:t>Ultimate approval of Accessibility Plans</w:t>
      </w:r>
      <w:r w:rsidR="00222D92">
        <w:rPr>
          <w:rFonts w:cstheme="minorHAnsi"/>
          <w:szCs w:val="24"/>
        </w:rPr>
        <w:t xml:space="preserve"> and initiatives</w:t>
      </w:r>
      <w:r w:rsidRPr="009F0E4B">
        <w:rPr>
          <w:rFonts w:cstheme="minorHAnsi"/>
          <w:szCs w:val="24"/>
        </w:rPr>
        <w:t xml:space="preserve"> rests with the Vice-Principals’ Operations Group</w:t>
      </w:r>
      <w:r w:rsidR="00B230E8">
        <w:rPr>
          <w:rFonts w:cstheme="minorHAnsi"/>
          <w:szCs w:val="24"/>
        </w:rPr>
        <w:t xml:space="preserve"> (VPOC)</w:t>
      </w:r>
      <w:r w:rsidRPr="009F0E4B">
        <w:rPr>
          <w:rFonts w:cstheme="minorHAnsi"/>
          <w:szCs w:val="24"/>
        </w:rPr>
        <w:t>.</w:t>
      </w:r>
    </w:p>
    <w:p w:rsidR="0019618F" w:rsidRPr="0019618F" w:rsidRDefault="0019618F" w:rsidP="001E160D">
      <w:pPr>
        <w:pStyle w:val="Heading3"/>
      </w:pPr>
      <w:bookmarkStart w:id="11" w:name="_Toc448739665"/>
      <w:bookmarkStart w:id="12" w:name="_Toc466287416"/>
      <w:r w:rsidRPr="001E160D">
        <w:t xml:space="preserve">Phase Two </w:t>
      </w:r>
      <w:bookmarkEnd w:id="11"/>
      <w:r w:rsidR="001E160D" w:rsidRPr="001E160D">
        <w:t>- Competency</w:t>
      </w:r>
      <w:bookmarkEnd w:id="12"/>
    </w:p>
    <w:p w:rsidR="001E160D" w:rsidRPr="001E160D" w:rsidRDefault="001E160D" w:rsidP="001E160D">
      <w:pPr>
        <w:spacing w:after="0" w:line="240" w:lineRule="auto"/>
        <w:jc w:val="both"/>
      </w:pPr>
      <w:r w:rsidRPr="001E160D">
        <w:t>Through 2015, some original working groups were either placed on hiatus (because AODA obligations were met) or collapsed. The remaining working groups continued work towards compliance or competency of the university’s obligations under the AODA in the following manner:</w:t>
      </w:r>
    </w:p>
    <w:p w:rsidR="001E160D" w:rsidRPr="001E160D" w:rsidRDefault="001E160D" w:rsidP="001E160D">
      <w:pPr>
        <w:numPr>
          <w:ilvl w:val="0"/>
          <w:numId w:val="32"/>
        </w:numPr>
        <w:spacing w:after="0" w:line="240" w:lineRule="auto"/>
        <w:jc w:val="both"/>
      </w:pPr>
      <w:r w:rsidRPr="001E160D">
        <w:t>Consult with Persons with Disabilities whose input in shared with the five working groups and throughout the cycle;</w:t>
      </w:r>
    </w:p>
    <w:p w:rsidR="001E160D" w:rsidRPr="001E160D" w:rsidRDefault="001E160D" w:rsidP="001E160D">
      <w:pPr>
        <w:numPr>
          <w:ilvl w:val="0"/>
          <w:numId w:val="32"/>
        </w:numPr>
        <w:spacing w:after="0" w:line="240" w:lineRule="auto"/>
        <w:jc w:val="both"/>
      </w:pPr>
      <w:r w:rsidRPr="001E160D">
        <w:t xml:space="preserve">The process of each working group and committee are as follows: </w:t>
      </w:r>
    </w:p>
    <w:p w:rsidR="001E160D" w:rsidRPr="001E160D" w:rsidRDefault="001E160D" w:rsidP="001E160D">
      <w:pPr>
        <w:numPr>
          <w:ilvl w:val="1"/>
          <w:numId w:val="32"/>
        </w:numPr>
        <w:spacing w:after="0" w:line="240" w:lineRule="auto"/>
        <w:jc w:val="both"/>
      </w:pPr>
      <w:r w:rsidRPr="001E160D">
        <w:rPr>
          <w:b/>
        </w:rPr>
        <w:t>Information and Communication Working Group</w:t>
      </w:r>
      <w:r w:rsidRPr="001E160D">
        <w:t>: will continue to monitor Queen’s websites and departmental compliance efforts (with WCAG 2.0 Level A) every six months and make recommendations.</w:t>
      </w:r>
    </w:p>
    <w:p w:rsidR="001E160D" w:rsidRPr="001E160D" w:rsidRDefault="001E160D" w:rsidP="001E160D">
      <w:pPr>
        <w:numPr>
          <w:ilvl w:val="1"/>
          <w:numId w:val="32"/>
        </w:numPr>
        <w:spacing w:after="0" w:line="240" w:lineRule="auto"/>
        <w:jc w:val="both"/>
      </w:pPr>
      <w:r w:rsidRPr="001E160D">
        <w:rPr>
          <w:b/>
        </w:rPr>
        <w:t>Built Environment Working Group:</w:t>
      </w:r>
      <w:r w:rsidRPr="001E160D">
        <w:t xml:space="preserve"> continuing its work to meet obligations of the Design of Public Space requirements coming into force in 2016.</w:t>
      </w:r>
    </w:p>
    <w:p w:rsidR="001E160D" w:rsidRPr="001E160D" w:rsidRDefault="001E160D" w:rsidP="001E160D">
      <w:pPr>
        <w:numPr>
          <w:ilvl w:val="1"/>
          <w:numId w:val="32"/>
        </w:numPr>
        <w:spacing w:after="0" w:line="240" w:lineRule="auto"/>
        <w:jc w:val="both"/>
      </w:pPr>
      <w:r w:rsidRPr="001E160D">
        <w:rPr>
          <w:b/>
        </w:rPr>
        <w:t xml:space="preserve">Community of Practice </w:t>
      </w:r>
      <w:r w:rsidRPr="001E160D">
        <w:rPr>
          <w:i/>
        </w:rPr>
        <w:t>(formerly the Education, Training, and Awareness Working Group has been put on hiatus)</w:t>
      </w:r>
      <w:r w:rsidRPr="001E160D">
        <w:t>:  comprises of input from the Centre for Teaching and Learning, ITServices, and the Equity Office.</w:t>
      </w:r>
    </w:p>
    <w:p w:rsidR="001E160D" w:rsidRPr="001E160D" w:rsidRDefault="001E160D" w:rsidP="001E160D">
      <w:pPr>
        <w:numPr>
          <w:ilvl w:val="1"/>
          <w:numId w:val="32"/>
        </w:numPr>
        <w:spacing w:after="0" w:line="240" w:lineRule="auto"/>
        <w:jc w:val="both"/>
      </w:pPr>
      <w:r w:rsidRPr="001E160D">
        <w:rPr>
          <w:b/>
        </w:rPr>
        <w:t xml:space="preserve">The Policy Advisory Subcommittee (PSAC) of VPOC </w:t>
      </w:r>
      <w:r w:rsidRPr="001E160D">
        <w:rPr>
          <w:i/>
        </w:rPr>
        <w:t>(formerly the Policy Advisory Working Group</w:t>
      </w:r>
      <w:r w:rsidRPr="001E160D">
        <w:t xml:space="preserve"> </w:t>
      </w:r>
      <w:proofErr w:type="gramStart"/>
      <w:r w:rsidRPr="001E160D">
        <w:rPr>
          <w:i/>
        </w:rPr>
        <w:t>which</w:t>
      </w:r>
      <w:proofErr w:type="gramEnd"/>
      <w:r w:rsidRPr="001E160D">
        <w:rPr>
          <w:i/>
        </w:rPr>
        <w:t xml:space="preserve"> has collapsed)</w:t>
      </w:r>
      <w:r w:rsidRPr="001E160D">
        <w:t>: has agreed to expand its Terms of Reference to include providing feedback on Accessibility policies, procedures, and guidelines and submit them directly to VPOC for approval.</w:t>
      </w:r>
    </w:p>
    <w:p w:rsidR="001E160D" w:rsidRPr="001E160D" w:rsidRDefault="001E160D" w:rsidP="001E160D">
      <w:pPr>
        <w:numPr>
          <w:ilvl w:val="1"/>
          <w:numId w:val="32"/>
        </w:numPr>
        <w:spacing w:after="0" w:line="240" w:lineRule="auto"/>
        <w:jc w:val="both"/>
      </w:pPr>
      <w:r w:rsidRPr="001E160D">
        <w:rPr>
          <w:b/>
        </w:rPr>
        <w:t>Employment Working Group</w:t>
      </w:r>
      <w:r w:rsidRPr="001E160D">
        <w:t xml:space="preserve">: has been put on hiatus.  The AODA requirements have been met operationally by the Human Resources department through the development of the </w:t>
      </w:r>
      <w:hyperlink r:id="rId34" w:history="1">
        <w:r w:rsidRPr="001E160D">
          <w:rPr>
            <w:rStyle w:val="Hyperlink"/>
          </w:rPr>
          <w:t>Accommodation of Disabilities in the Workplace Policy</w:t>
        </w:r>
      </w:hyperlink>
      <w:r w:rsidRPr="001E160D">
        <w:t xml:space="preserve">, </w:t>
      </w:r>
      <w:hyperlink r:id="rId35" w:history="1">
        <w:r w:rsidRPr="001E160D">
          <w:rPr>
            <w:rStyle w:val="Hyperlink"/>
          </w:rPr>
          <w:t>Individualized Accommodation Procedures</w:t>
        </w:r>
      </w:hyperlink>
      <w:r w:rsidRPr="001E160D">
        <w:t xml:space="preserve">, </w:t>
      </w:r>
      <w:hyperlink r:id="rId36" w:history="1">
        <w:r w:rsidRPr="001E160D">
          <w:rPr>
            <w:rStyle w:val="Hyperlink"/>
          </w:rPr>
          <w:t>Disability Accommodation Guidelines</w:t>
        </w:r>
      </w:hyperlink>
      <w:r w:rsidRPr="001E160D">
        <w:t xml:space="preserve">, </w:t>
      </w:r>
      <w:hyperlink r:id="rId37" w:history="1">
        <w:r w:rsidRPr="001E160D">
          <w:rPr>
            <w:rStyle w:val="Hyperlink"/>
          </w:rPr>
          <w:t>Return to Work Policy</w:t>
        </w:r>
      </w:hyperlink>
      <w:r w:rsidRPr="001E160D">
        <w:t xml:space="preserve">, and </w:t>
      </w:r>
      <w:hyperlink r:id="rId38" w:history="1">
        <w:r w:rsidRPr="001E160D">
          <w:rPr>
            <w:rStyle w:val="Hyperlink"/>
          </w:rPr>
          <w:t>Return to Work Procedure </w:t>
        </w:r>
      </w:hyperlink>
      <w:r w:rsidRPr="001E160D">
        <w:t>.</w:t>
      </w:r>
    </w:p>
    <w:p w:rsidR="001E160D" w:rsidRPr="001E160D" w:rsidRDefault="001E160D" w:rsidP="001E160D">
      <w:pPr>
        <w:spacing w:after="0" w:line="240" w:lineRule="auto"/>
        <w:jc w:val="both"/>
      </w:pPr>
    </w:p>
    <w:p w:rsidR="001E160D" w:rsidRPr="001E160D" w:rsidRDefault="001E160D" w:rsidP="001E160D">
      <w:pPr>
        <w:numPr>
          <w:ilvl w:val="0"/>
          <w:numId w:val="32"/>
        </w:numPr>
        <w:spacing w:after="0" w:line="240" w:lineRule="auto"/>
        <w:jc w:val="both"/>
      </w:pPr>
      <w:r w:rsidRPr="001E160D">
        <w:t>Any initiative from each active Working Group or Committee (with the exception of PSAC) is given to the Operational Review Committee (ORC) who provides feedback and endorsement ensuring institutional-wide considerations are discussed;</w:t>
      </w:r>
    </w:p>
    <w:p w:rsidR="001E160D" w:rsidRPr="001E160D" w:rsidRDefault="001E160D" w:rsidP="001E160D">
      <w:pPr>
        <w:numPr>
          <w:ilvl w:val="0"/>
          <w:numId w:val="32"/>
        </w:numPr>
        <w:spacing w:after="0" w:line="240" w:lineRule="auto"/>
        <w:jc w:val="both"/>
      </w:pPr>
      <w:r w:rsidRPr="001E160D">
        <w:t>The VP Operations Committee, Principal or Vice Principal’s Group consults with ORC and provides final approval.</w:t>
      </w:r>
    </w:p>
    <w:p w:rsidR="00605F1C" w:rsidRDefault="0019618F" w:rsidP="008C1D75">
      <w:pPr>
        <w:keepNext/>
        <w:jc w:val="center"/>
      </w:pPr>
      <w:r w:rsidRPr="0019618F">
        <w:rPr>
          <w:noProof/>
          <w:lang w:eastAsia="en-CA"/>
        </w:rPr>
        <w:lastRenderedPageBreak/>
        <w:drawing>
          <wp:inline distT="0" distB="0" distL="0" distR="0" wp14:anchorId="5AA16271" wp14:editId="7C4A7817">
            <wp:extent cx="6086794" cy="3255048"/>
            <wp:effectExtent l="0" t="0" r="9525" b="2540"/>
            <wp:docPr id="4" name="Picture 4" descr="Phase 2 reporting struction concept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ase 2.jpg"/>
                    <pic:cNvPicPr/>
                  </pic:nvPicPr>
                  <pic:blipFill rotWithShape="1">
                    <a:blip r:embed="rId39" cstate="print">
                      <a:extLst>
                        <a:ext uri="{28A0092B-C50C-407E-A947-70E740481C1C}">
                          <a14:useLocalDpi xmlns:a14="http://schemas.microsoft.com/office/drawing/2010/main" val="0"/>
                        </a:ext>
                      </a:extLst>
                    </a:blip>
                    <a:srcRect l="3049" t="15969" r="6141" b="19281"/>
                    <a:stretch/>
                  </pic:blipFill>
                  <pic:spPr bwMode="auto">
                    <a:xfrm>
                      <a:off x="0" y="0"/>
                      <a:ext cx="6111146" cy="3268071"/>
                    </a:xfrm>
                    <a:prstGeom prst="rect">
                      <a:avLst/>
                    </a:prstGeom>
                    <a:ln>
                      <a:noFill/>
                    </a:ln>
                    <a:extLst>
                      <a:ext uri="{53640926-AAD7-44D8-BBD7-CCE9431645EC}">
                        <a14:shadowObscured xmlns:a14="http://schemas.microsoft.com/office/drawing/2010/main"/>
                      </a:ext>
                    </a:extLst>
                  </pic:spPr>
                </pic:pic>
              </a:graphicData>
            </a:graphic>
          </wp:inline>
        </w:drawing>
      </w:r>
    </w:p>
    <w:p w:rsidR="0019618F" w:rsidRPr="00605F1C" w:rsidRDefault="00605F1C" w:rsidP="00605F1C">
      <w:pPr>
        <w:pStyle w:val="Caption"/>
        <w:rPr>
          <w:color w:val="auto"/>
          <w:sz w:val="24"/>
          <w:szCs w:val="24"/>
        </w:rPr>
      </w:pPr>
      <w:r w:rsidRPr="009A5458">
        <w:rPr>
          <w:b/>
          <w:color w:val="auto"/>
          <w:sz w:val="24"/>
          <w:szCs w:val="24"/>
        </w:rPr>
        <w:t xml:space="preserve">Figure </w:t>
      </w:r>
      <w:r w:rsidRPr="009A5458">
        <w:rPr>
          <w:b/>
          <w:color w:val="auto"/>
          <w:sz w:val="24"/>
          <w:szCs w:val="24"/>
        </w:rPr>
        <w:fldChar w:fldCharType="begin"/>
      </w:r>
      <w:r w:rsidRPr="009A5458">
        <w:rPr>
          <w:b/>
          <w:color w:val="auto"/>
          <w:sz w:val="24"/>
          <w:szCs w:val="24"/>
        </w:rPr>
        <w:instrText xml:space="preserve"> SEQ Figure \* ARABIC </w:instrText>
      </w:r>
      <w:r w:rsidRPr="009A5458">
        <w:rPr>
          <w:b/>
          <w:color w:val="auto"/>
          <w:sz w:val="24"/>
          <w:szCs w:val="24"/>
        </w:rPr>
        <w:fldChar w:fldCharType="separate"/>
      </w:r>
      <w:r w:rsidR="00277BA5">
        <w:rPr>
          <w:b/>
          <w:noProof/>
          <w:color w:val="auto"/>
          <w:sz w:val="24"/>
          <w:szCs w:val="24"/>
        </w:rPr>
        <w:t>2</w:t>
      </w:r>
      <w:r w:rsidRPr="009A5458">
        <w:rPr>
          <w:b/>
          <w:color w:val="auto"/>
          <w:sz w:val="24"/>
          <w:szCs w:val="24"/>
        </w:rPr>
        <w:fldChar w:fldCharType="end"/>
      </w:r>
      <w:r w:rsidRPr="00605F1C">
        <w:rPr>
          <w:color w:val="auto"/>
          <w:sz w:val="24"/>
          <w:szCs w:val="24"/>
        </w:rPr>
        <w:t>- Phase Two – Proposed Reporting Structure of the Framework for Accessibility</w:t>
      </w:r>
    </w:p>
    <w:p w:rsidR="00796B22" w:rsidRPr="009F0E4B" w:rsidRDefault="00796B22" w:rsidP="00FC6C28">
      <w:pPr>
        <w:pStyle w:val="Heading2"/>
      </w:pPr>
      <w:bookmarkStart w:id="13" w:name="_Toc466287417"/>
      <w:r w:rsidRPr="009F0E4B">
        <w:t>Barrier Identification</w:t>
      </w:r>
      <w:bookmarkEnd w:id="13"/>
    </w:p>
    <w:p w:rsidR="00796B22" w:rsidRPr="009F0E4B" w:rsidRDefault="00796B22" w:rsidP="00CB645F">
      <w:pPr>
        <w:jc w:val="both"/>
        <w:rPr>
          <w:rFonts w:cstheme="minorHAnsi"/>
          <w:szCs w:val="24"/>
        </w:rPr>
      </w:pPr>
      <w:r w:rsidRPr="009F0E4B">
        <w:rPr>
          <w:rFonts w:cstheme="minorHAnsi"/>
          <w:szCs w:val="24"/>
        </w:rPr>
        <w:t>The intent of the Accessibility Plan is to prevent, identify, and remove barriers. Barriers to accessibility are obstacles that make it difficult – sometimes impossible – for persons with disabilities to do the things most of us take for granted, things like working, learning, and participating in recreational activities. When we think of barriers to accessibility, most of us think of physical barriers, like a person who uses a wheelchair not being able to enter a building because there is no ramp. The fact is that there are many kinds of barriers</w:t>
      </w:r>
      <w:proofErr w:type="gramStart"/>
      <w:r w:rsidRPr="009F0E4B">
        <w:rPr>
          <w:rFonts w:cstheme="minorHAnsi"/>
          <w:szCs w:val="24"/>
        </w:rPr>
        <w:t>;</w:t>
      </w:r>
      <w:proofErr w:type="gramEnd"/>
      <w:r w:rsidRPr="009F0E4B">
        <w:rPr>
          <w:rFonts w:cstheme="minorHAnsi"/>
          <w:szCs w:val="24"/>
        </w:rPr>
        <w:t xml:space="preserve"> some </w:t>
      </w:r>
      <w:r w:rsidR="00FD0A1E">
        <w:rPr>
          <w:rFonts w:cstheme="minorHAnsi"/>
          <w:szCs w:val="24"/>
        </w:rPr>
        <w:t>are</w:t>
      </w:r>
      <w:r w:rsidRPr="009F0E4B">
        <w:rPr>
          <w:rFonts w:cstheme="minorHAnsi"/>
          <w:szCs w:val="24"/>
        </w:rPr>
        <w:t xml:space="preserve"> visible, many are not.</w:t>
      </w:r>
    </w:p>
    <w:p w:rsidR="00796B22" w:rsidRPr="009F0E4B" w:rsidRDefault="00796B22" w:rsidP="00CB645F">
      <w:pPr>
        <w:jc w:val="both"/>
        <w:rPr>
          <w:rFonts w:cstheme="minorHAnsi"/>
          <w:szCs w:val="24"/>
        </w:rPr>
      </w:pPr>
      <w:r w:rsidRPr="009F0E4B">
        <w:rPr>
          <w:rFonts w:cstheme="minorHAnsi"/>
          <w:b/>
          <w:szCs w:val="24"/>
        </w:rPr>
        <w:t>Information or Communications Barriers</w:t>
      </w:r>
      <w:r w:rsidR="00CB645F" w:rsidRPr="009F0E4B">
        <w:rPr>
          <w:rFonts w:cstheme="minorHAnsi"/>
          <w:b/>
          <w:szCs w:val="24"/>
        </w:rPr>
        <w:t xml:space="preserve">:  </w:t>
      </w:r>
      <w:r w:rsidR="00751D03">
        <w:rPr>
          <w:rFonts w:cstheme="minorHAnsi"/>
          <w:szCs w:val="24"/>
        </w:rPr>
        <w:t>O</w:t>
      </w:r>
      <w:r w:rsidR="00CB645F" w:rsidRPr="009F0E4B">
        <w:rPr>
          <w:rFonts w:cstheme="minorHAnsi"/>
          <w:szCs w:val="24"/>
        </w:rPr>
        <w:t xml:space="preserve">bstacles with processing, transmitting, or interpreting information. For example, print on a brochure that is too small to read, websites that cannot be accessed by people who are not able to use a mouse, or signs that </w:t>
      </w:r>
      <w:proofErr w:type="gramStart"/>
      <w:r w:rsidR="00CB645F" w:rsidRPr="009F0E4B">
        <w:rPr>
          <w:rFonts w:cstheme="minorHAnsi"/>
          <w:szCs w:val="24"/>
        </w:rPr>
        <w:t>are not clear or easily understood</w:t>
      </w:r>
      <w:proofErr w:type="gramEnd"/>
      <w:r w:rsidR="00A7764D">
        <w:rPr>
          <w:rFonts w:cstheme="minorHAnsi"/>
          <w:szCs w:val="24"/>
        </w:rPr>
        <w:t>.</w:t>
      </w:r>
    </w:p>
    <w:p w:rsidR="00CB645F" w:rsidRPr="009F0E4B" w:rsidRDefault="00CB645F" w:rsidP="00CB645F">
      <w:pPr>
        <w:jc w:val="both"/>
        <w:rPr>
          <w:rFonts w:cstheme="minorHAnsi"/>
          <w:szCs w:val="24"/>
        </w:rPr>
      </w:pPr>
      <w:r w:rsidRPr="009F0E4B">
        <w:rPr>
          <w:rFonts w:cstheme="minorHAnsi"/>
          <w:b/>
          <w:szCs w:val="24"/>
        </w:rPr>
        <w:t>Attitudinal Barriers:</w:t>
      </w:r>
      <w:r w:rsidRPr="009F0E4B">
        <w:rPr>
          <w:rFonts w:cstheme="minorHAnsi"/>
          <w:szCs w:val="24"/>
        </w:rPr>
        <w:t xml:space="preserve">  </w:t>
      </w:r>
      <w:r w:rsidR="00751D03">
        <w:rPr>
          <w:rFonts w:cstheme="minorHAnsi"/>
          <w:szCs w:val="24"/>
        </w:rPr>
        <w:t>P</w:t>
      </w:r>
      <w:r w:rsidRPr="009F0E4B">
        <w:rPr>
          <w:rFonts w:cstheme="minorHAnsi"/>
          <w:szCs w:val="24"/>
        </w:rPr>
        <w:t>rejudgments or assumptions that directly or indirectly discriminate. For example, thinking that persons with disabilities are inferior, or assuming that a person who has a speech impairment cannot understand you</w:t>
      </w:r>
      <w:r w:rsidR="00A7764D">
        <w:rPr>
          <w:rFonts w:cstheme="minorHAnsi"/>
          <w:szCs w:val="24"/>
        </w:rPr>
        <w:t>.</w:t>
      </w:r>
    </w:p>
    <w:p w:rsidR="00CB645F" w:rsidRPr="009F0E4B" w:rsidRDefault="00CB645F" w:rsidP="00CB645F">
      <w:pPr>
        <w:jc w:val="both"/>
        <w:rPr>
          <w:rFonts w:cstheme="minorHAnsi"/>
          <w:szCs w:val="24"/>
        </w:rPr>
      </w:pPr>
      <w:r w:rsidRPr="009F0E4B">
        <w:rPr>
          <w:rFonts w:cstheme="minorHAnsi"/>
          <w:b/>
          <w:szCs w:val="24"/>
        </w:rPr>
        <w:t xml:space="preserve">Technological Barriers:  </w:t>
      </w:r>
      <w:r w:rsidR="00751D03">
        <w:rPr>
          <w:rFonts w:cstheme="minorHAnsi"/>
          <w:szCs w:val="24"/>
        </w:rPr>
        <w:t>W</w:t>
      </w:r>
      <w:r w:rsidRPr="009F0E4B">
        <w:rPr>
          <w:rFonts w:cstheme="minorHAnsi"/>
          <w:szCs w:val="24"/>
        </w:rPr>
        <w:t>hen technology cannot be or is not modified to support various assistive devices and/or software. For example, a website that does not support screen-reading software</w:t>
      </w:r>
      <w:r w:rsidR="00A7764D">
        <w:rPr>
          <w:rFonts w:cstheme="minorHAnsi"/>
          <w:szCs w:val="24"/>
        </w:rPr>
        <w:t>.</w:t>
      </w:r>
    </w:p>
    <w:p w:rsidR="00CB645F" w:rsidRPr="009F0E4B" w:rsidRDefault="00CB645F" w:rsidP="00CB645F">
      <w:pPr>
        <w:jc w:val="both"/>
        <w:rPr>
          <w:rFonts w:cstheme="minorHAnsi"/>
          <w:szCs w:val="24"/>
        </w:rPr>
      </w:pPr>
      <w:r w:rsidRPr="009F0E4B">
        <w:rPr>
          <w:rFonts w:cstheme="minorHAnsi"/>
          <w:b/>
          <w:szCs w:val="24"/>
        </w:rPr>
        <w:lastRenderedPageBreak/>
        <w:t xml:space="preserve">Organizational Barriers:  </w:t>
      </w:r>
      <w:r w:rsidR="00751D03">
        <w:rPr>
          <w:rFonts w:cstheme="minorHAnsi"/>
          <w:szCs w:val="24"/>
        </w:rPr>
        <w:t>B</w:t>
      </w:r>
      <w:r w:rsidRPr="009F0E4B">
        <w:rPr>
          <w:rFonts w:cstheme="minorHAnsi"/>
          <w:szCs w:val="24"/>
        </w:rPr>
        <w:t>arriers within an organization’s policies, procedures, or practices that do not consider accessibility. For example, a hiring process that is not open to persons with disabilities</w:t>
      </w:r>
      <w:r w:rsidR="00A7764D">
        <w:rPr>
          <w:rFonts w:cstheme="minorHAnsi"/>
          <w:szCs w:val="24"/>
        </w:rPr>
        <w:t>.</w:t>
      </w:r>
      <w:r w:rsidR="00C45465">
        <w:rPr>
          <w:rFonts w:cstheme="minorHAnsi"/>
          <w:szCs w:val="24"/>
        </w:rPr>
        <w:t xml:space="preserve"> For example, inaccessible interview locations, or setting criteria that are not necessary to perform the job requirements.</w:t>
      </w:r>
    </w:p>
    <w:p w:rsidR="00CB645F" w:rsidRPr="009F0E4B" w:rsidRDefault="00CB645F" w:rsidP="00CB645F">
      <w:pPr>
        <w:jc w:val="both"/>
        <w:rPr>
          <w:rFonts w:cstheme="minorHAnsi"/>
          <w:szCs w:val="24"/>
        </w:rPr>
      </w:pPr>
      <w:r w:rsidRPr="009F0E4B">
        <w:rPr>
          <w:rFonts w:cstheme="minorHAnsi"/>
          <w:b/>
          <w:szCs w:val="24"/>
        </w:rPr>
        <w:t xml:space="preserve">Architectural and Physical Barriers:  </w:t>
      </w:r>
      <w:r w:rsidR="00751D03">
        <w:rPr>
          <w:rFonts w:cstheme="minorHAnsi"/>
          <w:szCs w:val="24"/>
        </w:rPr>
        <w:t>F</w:t>
      </w:r>
      <w:r w:rsidRPr="009F0E4B">
        <w:rPr>
          <w:rFonts w:cstheme="minorHAnsi"/>
          <w:szCs w:val="24"/>
        </w:rPr>
        <w:t>eatures of buildings or spaces that restrict or impede physical access. For example, a doorway that is too narrow to accommodate entry by a person with a motorized scooter, doorknobs that are difficult for persons with arthritis to grasp or poor lighting for persons with low vision</w:t>
      </w:r>
      <w:r w:rsidR="00A7764D">
        <w:rPr>
          <w:rFonts w:cstheme="minorHAnsi"/>
          <w:szCs w:val="24"/>
        </w:rPr>
        <w:t>.</w:t>
      </w:r>
    </w:p>
    <w:p w:rsidR="00673A77" w:rsidRPr="008D5511" w:rsidRDefault="00ED2359" w:rsidP="00ED2359">
      <w:pPr>
        <w:pStyle w:val="Heading1"/>
      </w:pPr>
      <w:bookmarkStart w:id="14" w:name="_Toc466287418"/>
      <w:bookmarkStart w:id="15" w:name="_Toc327799010"/>
      <w:bookmarkStart w:id="16" w:name="_Toc327799171"/>
      <w:r w:rsidRPr="008D5511">
        <w:t>Section 2: Accessibility at Queen’s University</w:t>
      </w:r>
      <w:bookmarkEnd w:id="14"/>
    </w:p>
    <w:p w:rsidR="00ED2359" w:rsidRPr="008D5511" w:rsidRDefault="00181E30" w:rsidP="00673A77">
      <w:pPr>
        <w:pStyle w:val="Heading2"/>
      </w:pPr>
      <w:bookmarkStart w:id="17" w:name="_Toc466287419"/>
      <w:r w:rsidRPr="008D5511">
        <w:t>Achievements</w:t>
      </w:r>
      <w:r w:rsidR="00ED2359" w:rsidRPr="008D5511">
        <w:t xml:space="preserve"> </w:t>
      </w:r>
      <w:r w:rsidR="00673A77" w:rsidRPr="008D5511">
        <w:t xml:space="preserve">for </w:t>
      </w:r>
      <w:r w:rsidR="00ED2359" w:rsidRPr="008D5511">
        <w:t>2013/2016</w:t>
      </w:r>
      <w:bookmarkEnd w:id="17"/>
    </w:p>
    <w:bookmarkEnd w:id="15"/>
    <w:bookmarkEnd w:id="16"/>
    <w:p w:rsidR="00105223" w:rsidRDefault="00901EA2" w:rsidP="004A7F2D">
      <w:pPr>
        <w:spacing w:after="0"/>
        <w:jc w:val="both"/>
        <w:rPr>
          <w:rFonts w:eastAsia="Times New Roman" w:cstheme="minorHAnsi"/>
          <w:szCs w:val="24"/>
        </w:rPr>
      </w:pPr>
      <w:r w:rsidRPr="009F0E4B">
        <w:rPr>
          <w:rFonts w:eastAsia="Times New Roman" w:cstheme="minorHAnsi"/>
          <w:szCs w:val="24"/>
        </w:rPr>
        <w:t>In its role to guide the Queen’s accessibility mandate and put plans into action, the Accessibility Framework continued the process toward compliance with the AODA and building an accessible and inclusive environment.</w:t>
      </w:r>
    </w:p>
    <w:p w:rsidR="001076FD" w:rsidRDefault="001076FD" w:rsidP="00673A77">
      <w:pPr>
        <w:pStyle w:val="Heading3"/>
      </w:pPr>
      <w:bookmarkStart w:id="18" w:name="_Toc466287420"/>
      <w:r>
        <w:t>Consulting Persons with Disabilities and the Broader Community</w:t>
      </w:r>
      <w:bookmarkEnd w:id="18"/>
    </w:p>
    <w:p w:rsidR="005C2CE2" w:rsidRPr="005C2CE2" w:rsidRDefault="005C2CE2" w:rsidP="005C2CE2">
      <w:pPr>
        <w:jc w:val="both"/>
      </w:pPr>
      <w:r w:rsidRPr="009F0E4B">
        <w:rPr>
          <w:rFonts w:cstheme="minorHAnsi"/>
          <w:szCs w:val="24"/>
        </w:rPr>
        <w:t xml:space="preserve">Queen’s strives to improve its ability to consult, engage, listen, and reframe accessibility issues so that the results of our </w:t>
      </w:r>
      <w:proofErr w:type="gramStart"/>
      <w:r w:rsidRPr="009F0E4B">
        <w:rPr>
          <w:rFonts w:cstheme="minorHAnsi"/>
          <w:szCs w:val="24"/>
        </w:rPr>
        <w:t>work better</w:t>
      </w:r>
      <w:proofErr w:type="gramEnd"/>
      <w:r w:rsidRPr="009F0E4B">
        <w:rPr>
          <w:rFonts w:cstheme="minorHAnsi"/>
          <w:szCs w:val="24"/>
        </w:rPr>
        <w:t xml:space="preserve"> meet the expectations and needs of persons with disabilities.</w:t>
      </w:r>
      <w:r>
        <w:rPr>
          <w:rFonts w:cstheme="minorHAnsi"/>
          <w:szCs w:val="24"/>
        </w:rPr>
        <w:t xml:space="preserve"> </w:t>
      </w:r>
    </w:p>
    <w:p w:rsidR="004F05F2" w:rsidRDefault="004F05F2" w:rsidP="00E365A2">
      <w:pPr>
        <w:jc w:val="both"/>
        <w:rPr>
          <w:szCs w:val="24"/>
        </w:rPr>
      </w:pPr>
      <w:r w:rsidRPr="00430A1F">
        <w:rPr>
          <w:szCs w:val="24"/>
        </w:rPr>
        <w:t>In addition to having persons with disabilities participating on all of our Working Groups</w:t>
      </w:r>
      <w:r w:rsidR="000760AD">
        <w:rPr>
          <w:szCs w:val="24"/>
        </w:rPr>
        <w:t>,</w:t>
      </w:r>
      <w:r w:rsidRPr="00430A1F">
        <w:rPr>
          <w:szCs w:val="24"/>
        </w:rPr>
        <w:t xml:space="preserve"> the university has undertaken several key initiatives </w:t>
      </w:r>
      <w:r w:rsidR="00E365A2" w:rsidRPr="00430A1F">
        <w:rPr>
          <w:szCs w:val="24"/>
        </w:rPr>
        <w:t>towards improving engagement with persons who are affected by or interested in accessibility matters at Queen’s.</w:t>
      </w:r>
      <w:r w:rsidR="00A536F9" w:rsidRPr="00430A1F">
        <w:rPr>
          <w:szCs w:val="24"/>
        </w:rPr>
        <w:t xml:space="preserve"> Offering an accessible public engagement process helps the university make </w:t>
      </w:r>
      <w:proofErr w:type="gramStart"/>
      <w:r w:rsidR="00A536F9" w:rsidRPr="00430A1F">
        <w:rPr>
          <w:szCs w:val="24"/>
        </w:rPr>
        <w:t>more informed decisions</w:t>
      </w:r>
      <w:proofErr w:type="gramEnd"/>
      <w:r w:rsidR="00A536F9" w:rsidRPr="00430A1F">
        <w:rPr>
          <w:szCs w:val="24"/>
        </w:rPr>
        <w:t>. It also helps members of the Queen’s community better understand the complexities of accessibility planning and thereby builds support for the university’s efforts.</w:t>
      </w:r>
    </w:p>
    <w:p w:rsidR="00210806" w:rsidRPr="00210806" w:rsidRDefault="00210806" w:rsidP="00673A77">
      <w:pPr>
        <w:pStyle w:val="Heading4"/>
      </w:pPr>
      <w:bookmarkStart w:id="19" w:name="_Toc448739672"/>
      <w:r w:rsidRPr="00210806">
        <w:t>Accessibility Café Series</w:t>
      </w:r>
      <w:bookmarkEnd w:id="19"/>
    </w:p>
    <w:p w:rsidR="00210806" w:rsidRPr="00210806" w:rsidRDefault="00210806" w:rsidP="00210806">
      <w:r w:rsidRPr="00210806">
        <w:t xml:space="preserve">Accessibility Cafés are a chance for the Queen’s community to get together to discuss building an inclusive and accessible Queen’s community that follows the requirements of the AODA. Each Café has a unique topic and all participants are encouraged to share their perspectives and generate ideas </w:t>
      </w:r>
      <w:r w:rsidR="00C66E90">
        <w:t xml:space="preserve">related to the </w:t>
      </w:r>
      <w:r w:rsidR="00B56C69">
        <w:t xml:space="preserve">question </w:t>
      </w:r>
      <w:r w:rsidR="00B56C69" w:rsidRPr="00210806">
        <w:t>“how</w:t>
      </w:r>
      <w:r w:rsidRPr="00210806">
        <w:t xml:space="preserve"> can we improve upon what Queen’s is doing already towards imagining and then building an even stronger inclusive and accessible Queen’s community?</w:t>
      </w:r>
      <w:r w:rsidR="00C66E90">
        <w:t>”</w:t>
      </w:r>
    </w:p>
    <w:p w:rsidR="00210806" w:rsidRPr="00210806" w:rsidRDefault="00210806" w:rsidP="003D622D">
      <w:pPr>
        <w:numPr>
          <w:ilvl w:val="0"/>
          <w:numId w:val="14"/>
        </w:numPr>
        <w:spacing w:before="100" w:beforeAutospacing="1" w:after="100" w:afterAutospacing="1"/>
        <w:rPr>
          <w:rFonts w:eastAsia="Times New Roman" w:cs="Times New Roman"/>
          <w:szCs w:val="24"/>
        </w:rPr>
      </w:pPr>
      <w:r w:rsidRPr="00210806">
        <w:rPr>
          <w:rFonts w:eastAsia="Times New Roman" w:cs="Times New Roman"/>
          <w:szCs w:val="24"/>
        </w:rPr>
        <w:t>This initiative was relaunched in January 2016;</w:t>
      </w:r>
    </w:p>
    <w:p w:rsidR="00210806" w:rsidRPr="00210806" w:rsidRDefault="00210806" w:rsidP="003D622D">
      <w:pPr>
        <w:numPr>
          <w:ilvl w:val="0"/>
          <w:numId w:val="14"/>
        </w:numPr>
        <w:spacing w:before="100" w:beforeAutospacing="1" w:after="100" w:afterAutospacing="1"/>
        <w:rPr>
          <w:rFonts w:eastAsia="Times New Roman" w:cs="Times New Roman"/>
          <w:szCs w:val="24"/>
        </w:rPr>
      </w:pPr>
      <w:r w:rsidRPr="00210806">
        <w:rPr>
          <w:rFonts w:eastAsia="Times New Roman" w:cs="Times New Roman"/>
          <w:szCs w:val="24"/>
        </w:rPr>
        <w:t xml:space="preserve">The first Café of 2016 was held on January 22 featuring keynote speaker David </w:t>
      </w:r>
      <w:proofErr w:type="spellStart"/>
      <w:r w:rsidRPr="00210806">
        <w:rPr>
          <w:rFonts w:eastAsia="Times New Roman" w:cs="Times New Roman"/>
          <w:szCs w:val="24"/>
        </w:rPr>
        <w:t>Lepofsky</w:t>
      </w:r>
      <w:proofErr w:type="spellEnd"/>
      <w:r w:rsidRPr="00210806">
        <w:rPr>
          <w:rFonts w:eastAsia="Times New Roman" w:cs="Times New Roman"/>
          <w:szCs w:val="24"/>
        </w:rPr>
        <w:t xml:space="preserve"> titled </w:t>
      </w:r>
      <w:r w:rsidRPr="00210806">
        <w:rPr>
          <w:rFonts w:eastAsia="Times New Roman" w:cs="Times New Roman"/>
          <w:i/>
          <w:szCs w:val="24"/>
        </w:rPr>
        <w:t>“Ramping Up Stalled Action in Ontario on Disability Accessibility”</w:t>
      </w:r>
      <w:r w:rsidRPr="00210806">
        <w:rPr>
          <w:rFonts w:eastAsia="Times New Roman" w:cs="Times New Roman"/>
          <w:szCs w:val="24"/>
        </w:rPr>
        <w:t>;</w:t>
      </w:r>
    </w:p>
    <w:p w:rsidR="00210806" w:rsidRPr="00210806" w:rsidRDefault="00210806" w:rsidP="003D622D">
      <w:pPr>
        <w:numPr>
          <w:ilvl w:val="0"/>
          <w:numId w:val="14"/>
        </w:numPr>
        <w:spacing w:before="100" w:beforeAutospacing="1" w:after="100" w:afterAutospacing="1"/>
        <w:rPr>
          <w:rFonts w:eastAsia="Times New Roman" w:cs="Times New Roman"/>
          <w:i/>
          <w:szCs w:val="24"/>
        </w:rPr>
      </w:pPr>
      <w:r w:rsidRPr="00210806">
        <w:rPr>
          <w:rFonts w:eastAsia="Times New Roman" w:cs="Times New Roman"/>
          <w:szCs w:val="24"/>
        </w:rPr>
        <w:lastRenderedPageBreak/>
        <w:t xml:space="preserve">The second Café was held on April 25 with titled </w:t>
      </w:r>
      <w:r w:rsidRPr="00210806">
        <w:rPr>
          <w:rFonts w:eastAsia="Times New Roman" w:cs="Times New Roman"/>
          <w:i/>
          <w:szCs w:val="24"/>
        </w:rPr>
        <w:t>“Queen’s Facilities Accessibility Design Standards (QFADS)”</w:t>
      </w:r>
      <w:r w:rsidRPr="00210806">
        <w:rPr>
          <w:rFonts w:eastAsia="Times New Roman" w:cs="Times New Roman"/>
          <w:szCs w:val="24"/>
        </w:rPr>
        <w:t>;</w:t>
      </w:r>
    </w:p>
    <w:p w:rsidR="00210806" w:rsidRPr="00210806" w:rsidRDefault="00210806" w:rsidP="003D622D">
      <w:pPr>
        <w:numPr>
          <w:ilvl w:val="0"/>
          <w:numId w:val="14"/>
        </w:numPr>
        <w:spacing w:before="100" w:beforeAutospacing="1" w:after="100" w:afterAutospacing="1"/>
        <w:rPr>
          <w:rFonts w:eastAsia="Times New Roman" w:cs="Times New Roman"/>
          <w:szCs w:val="24"/>
        </w:rPr>
      </w:pPr>
      <w:r w:rsidRPr="00210806">
        <w:rPr>
          <w:rFonts w:eastAsia="Times New Roman" w:cs="Times New Roman"/>
          <w:szCs w:val="24"/>
        </w:rPr>
        <w:t>The Equity Office has been conversing with ASUS and the AMS group Accessibility Queen’s (AQ) around forming a collaborative effort going forward to organize the Cafes.</w:t>
      </w:r>
    </w:p>
    <w:p w:rsidR="00D14521" w:rsidRDefault="00D14521" w:rsidP="00673A77">
      <w:pPr>
        <w:pStyle w:val="Heading3"/>
      </w:pPr>
      <w:bookmarkStart w:id="20" w:name="_Toc448739673"/>
      <w:bookmarkStart w:id="21" w:name="_Toc466287421"/>
      <w:bookmarkStart w:id="22" w:name="_Toc327799011"/>
      <w:bookmarkStart w:id="23" w:name="_Toc327799172"/>
      <w:r>
        <w:t>Accessibility Hub</w:t>
      </w:r>
      <w:bookmarkEnd w:id="20"/>
      <w:bookmarkEnd w:id="21"/>
    </w:p>
    <w:p w:rsidR="00D14521" w:rsidRPr="00BE79B8" w:rsidRDefault="00D14521" w:rsidP="003D622D">
      <w:pPr>
        <w:pStyle w:val="NormalWeb"/>
        <w:numPr>
          <w:ilvl w:val="0"/>
          <w:numId w:val="15"/>
        </w:numPr>
        <w:spacing w:line="276" w:lineRule="auto"/>
        <w:rPr>
          <w:rFonts w:asciiTheme="minorHAnsi" w:hAnsiTheme="minorHAnsi"/>
        </w:rPr>
      </w:pPr>
      <w:r w:rsidRPr="00BE79B8">
        <w:rPr>
          <w:rFonts w:asciiTheme="minorHAnsi" w:hAnsiTheme="minorHAnsi"/>
        </w:rPr>
        <w:t xml:space="preserve">Since its launch, the Accessibility Hub has assisted </w:t>
      </w:r>
      <w:r>
        <w:rPr>
          <w:rFonts w:asciiTheme="minorHAnsi" w:hAnsiTheme="minorHAnsi"/>
          <w:b/>
        </w:rPr>
        <w:t>120</w:t>
      </w:r>
      <w:r w:rsidRPr="00BE79B8">
        <w:rPr>
          <w:rFonts w:asciiTheme="minorHAnsi" w:hAnsiTheme="minorHAnsi"/>
        </w:rPr>
        <w:t xml:space="preserve"> Queen’s Departments and Community Services with accessibility issues. </w:t>
      </w:r>
    </w:p>
    <w:p w:rsidR="00D14521" w:rsidRPr="00BE79B8" w:rsidRDefault="00D14521" w:rsidP="003D622D">
      <w:pPr>
        <w:pStyle w:val="NormalWeb"/>
        <w:numPr>
          <w:ilvl w:val="0"/>
          <w:numId w:val="15"/>
        </w:numPr>
        <w:spacing w:line="276" w:lineRule="auto"/>
        <w:rPr>
          <w:rFonts w:asciiTheme="minorHAnsi" w:hAnsiTheme="minorHAnsi"/>
        </w:rPr>
      </w:pPr>
      <w:r w:rsidRPr="00BE79B8">
        <w:rPr>
          <w:rFonts w:asciiTheme="minorHAnsi" w:hAnsiTheme="minorHAnsi"/>
        </w:rPr>
        <w:t>Through the Accessibility Hub website, the Accessibility Coordinator has responded to:</w:t>
      </w:r>
    </w:p>
    <w:p w:rsidR="00D14521" w:rsidRPr="004F2BA9" w:rsidRDefault="00D14521" w:rsidP="003D622D">
      <w:pPr>
        <w:pStyle w:val="NormalWeb"/>
        <w:numPr>
          <w:ilvl w:val="1"/>
          <w:numId w:val="15"/>
        </w:numPr>
        <w:spacing w:line="276" w:lineRule="auto"/>
        <w:rPr>
          <w:rFonts w:asciiTheme="minorHAnsi" w:hAnsiTheme="minorHAnsi"/>
        </w:rPr>
      </w:pPr>
      <w:r w:rsidRPr="004F2BA9">
        <w:rPr>
          <w:rFonts w:asciiTheme="minorHAnsi" w:hAnsiTheme="minorHAnsi"/>
        </w:rPr>
        <w:t xml:space="preserve"> Over </w:t>
      </w:r>
      <w:r w:rsidRPr="004F2BA9">
        <w:rPr>
          <w:rFonts w:asciiTheme="minorHAnsi" w:hAnsiTheme="minorHAnsi"/>
          <w:b/>
        </w:rPr>
        <w:t xml:space="preserve">600 </w:t>
      </w:r>
      <w:r w:rsidRPr="004F2BA9">
        <w:rPr>
          <w:rFonts w:asciiTheme="minorHAnsi" w:hAnsiTheme="minorHAnsi"/>
        </w:rPr>
        <w:t>specific requests since the website launched (Oct. 2013).</w:t>
      </w:r>
    </w:p>
    <w:p w:rsidR="00D14521" w:rsidRPr="00BE79B8" w:rsidRDefault="00D14521" w:rsidP="003D622D">
      <w:pPr>
        <w:pStyle w:val="NormalWeb"/>
        <w:numPr>
          <w:ilvl w:val="1"/>
          <w:numId w:val="15"/>
        </w:numPr>
        <w:spacing w:line="276" w:lineRule="auto"/>
        <w:rPr>
          <w:rFonts w:asciiTheme="minorHAnsi" w:hAnsiTheme="minorHAnsi"/>
        </w:rPr>
      </w:pPr>
      <w:r w:rsidRPr="00BE79B8">
        <w:rPr>
          <w:rFonts w:asciiTheme="minorHAnsi" w:hAnsiTheme="minorHAnsi"/>
        </w:rPr>
        <w:t>Requests range from the simple to very complex. Including; built environment, video captioning, workplace accommodations, audio transcripts, website and document accessibility, physical access, accessible transportation, and accessible parking.</w:t>
      </w:r>
    </w:p>
    <w:p w:rsidR="00D14521" w:rsidRPr="00C24CCD" w:rsidRDefault="00D14521" w:rsidP="003D622D">
      <w:pPr>
        <w:pStyle w:val="NormalWeb"/>
        <w:numPr>
          <w:ilvl w:val="0"/>
          <w:numId w:val="15"/>
        </w:numPr>
        <w:spacing w:line="276" w:lineRule="auto"/>
        <w:rPr>
          <w:rFonts w:asciiTheme="minorHAnsi" w:hAnsiTheme="minorHAnsi"/>
        </w:rPr>
      </w:pPr>
      <w:r w:rsidRPr="00C24CCD">
        <w:rPr>
          <w:rFonts w:asciiTheme="minorHAnsi" w:hAnsiTheme="minorHAnsi"/>
        </w:rPr>
        <w:t xml:space="preserve">Since Google Analytics was added to the Hub (Nov. 22, 2013) there have </w:t>
      </w:r>
      <w:r w:rsidR="00C66E90">
        <w:rPr>
          <w:rFonts w:asciiTheme="minorHAnsi" w:hAnsiTheme="minorHAnsi"/>
        </w:rPr>
        <w:t xml:space="preserve">been </w:t>
      </w:r>
      <w:r w:rsidRPr="00C24CCD">
        <w:rPr>
          <w:rFonts w:asciiTheme="minorHAnsi" w:hAnsiTheme="minorHAnsi"/>
        </w:rPr>
        <w:t xml:space="preserve">over </w:t>
      </w:r>
      <w:r w:rsidRPr="00C24CCD">
        <w:rPr>
          <w:rFonts w:asciiTheme="minorHAnsi" w:hAnsiTheme="minorHAnsi"/>
          <w:b/>
        </w:rPr>
        <w:t xml:space="preserve">60,000 Visitors </w:t>
      </w:r>
      <w:r w:rsidRPr="00C24CCD">
        <w:rPr>
          <w:rFonts w:asciiTheme="minorHAnsi" w:hAnsiTheme="minorHAnsi"/>
        </w:rPr>
        <w:t xml:space="preserve">to the website, viewing over </w:t>
      </w:r>
      <w:r w:rsidRPr="00C24CCD">
        <w:rPr>
          <w:rFonts w:asciiTheme="minorHAnsi" w:hAnsiTheme="minorHAnsi"/>
          <w:b/>
        </w:rPr>
        <w:t>100,000 pages.</w:t>
      </w:r>
    </w:p>
    <w:p w:rsidR="00D14521" w:rsidRPr="006F6CEE" w:rsidRDefault="00D14521" w:rsidP="00673A77">
      <w:pPr>
        <w:pStyle w:val="Heading3"/>
      </w:pPr>
      <w:bookmarkStart w:id="24" w:name="_Toc448739674"/>
      <w:bookmarkStart w:id="25" w:name="_Toc466287422"/>
      <w:r w:rsidRPr="006F6CEE">
        <w:t>Accessibility Services Self-Study Report</w:t>
      </w:r>
      <w:bookmarkEnd w:id="24"/>
      <w:bookmarkEnd w:id="25"/>
    </w:p>
    <w:p w:rsidR="00D14521" w:rsidRPr="006F6CEE" w:rsidRDefault="00D14521" w:rsidP="00D14521">
      <w:r w:rsidRPr="006F6CEE">
        <w:t xml:space="preserve">In the </w:t>
      </w:r>
      <w:proofErr w:type="gramStart"/>
      <w:r w:rsidRPr="006F6CEE">
        <w:t>Fall</w:t>
      </w:r>
      <w:proofErr w:type="gramEnd"/>
      <w:r w:rsidRPr="006F6CEE">
        <w:t xml:space="preserve"> of 2014, a working group consisting of the Deputy Provost, the Vice-Provost &amp; Dean of Student Affairs and the University Librarian conducted an accessibility services self-study. This working group provided recommendations for information and feedback to the Operations Review Committee and Vice-Principals’ Operation Committee.</w:t>
      </w:r>
    </w:p>
    <w:p w:rsidR="00D14521" w:rsidRPr="006F6CEE" w:rsidRDefault="00D14521" w:rsidP="00D14521">
      <w:r w:rsidRPr="006F6CEE">
        <w:t xml:space="preserve">In this reporting </w:t>
      </w:r>
      <w:proofErr w:type="gramStart"/>
      <w:r w:rsidRPr="006F6CEE">
        <w:t>year</w:t>
      </w:r>
      <w:proofErr w:type="gramEnd"/>
      <w:r w:rsidRPr="006F6CEE">
        <w:t xml:space="preserve"> the following recommendations of the Self-Study have been implemented.</w:t>
      </w:r>
    </w:p>
    <w:p w:rsidR="00D14521" w:rsidRPr="00D14521" w:rsidRDefault="00D14521" w:rsidP="003D622D">
      <w:pPr>
        <w:pStyle w:val="ListParagraph"/>
        <w:numPr>
          <w:ilvl w:val="0"/>
          <w:numId w:val="16"/>
        </w:numPr>
      </w:pPr>
      <w:r w:rsidRPr="00D14521">
        <w:t>Establish the full-time position of the Accessibility Hub Coordinator, reporting to the Director of Human Rights and Equity Offices, and physical</w:t>
      </w:r>
      <w:r w:rsidR="00C66E90">
        <w:t>ly</w:t>
      </w:r>
      <w:r w:rsidRPr="00D14521">
        <w:t xml:space="preserve"> located at the Adaptive Technology Centre;</w:t>
      </w:r>
    </w:p>
    <w:p w:rsidR="00D14521" w:rsidRPr="00D14521" w:rsidRDefault="00D14521" w:rsidP="003D622D">
      <w:pPr>
        <w:pStyle w:val="ListParagraph"/>
        <w:numPr>
          <w:ilvl w:val="0"/>
          <w:numId w:val="16"/>
        </w:numPr>
      </w:pPr>
      <w:r w:rsidRPr="00D14521">
        <w:t>Change the reporting structure of the Adaptive Technology Centre, to a service under Library administration with a broadened mandate to support information accessibility for all individuals with disabilities at Queen’s;</w:t>
      </w:r>
    </w:p>
    <w:p w:rsidR="00D14521" w:rsidRDefault="00D14521" w:rsidP="003D622D">
      <w:pPr>
        <w:pStyle w:val="ListParagraph"/>
        <w:numPr>
          <w:ilvl w:val="0"/>
          <w:numId w:val="16"/>
        </w:numPr>
      </w:pPr>
      <w:r w:rsidRPr="00D14521">
        <w:t>Queen’s Student Accessibility Services (formerly the Disability Services Office) is to retain a student focus in the Disability Services Office, reporting within the portfolio of the Vice-Provost and Dean of Student Affairs.</w:t>
      </w:r>
    </w:p>
    <w:p w:rsidR="00673A77" w:rsidRDefault="00673A77" w:rsidP="00673A77">
      <w:pPr>
        <w:pStyle w:val="ListParagraph"/>
      </w:pPr>
    </w:p>
    <w:p w:rsidR="00673A77" w:rsidRDefault="00673A77" w:rsidP="00673A77">
      <w:pPr>
        <w:pStyle w:val="ListParagraph"/>
      </w:pPr>
    </w:p>
    <w:p w:rsidR="009B1BF4" w:rsidRDefault="009B1BF4" w:rsidP="00673A77">
      <w:pPr>
        <w:pStyle w:val="Heading3"/>
      </w:pPr>
      <w:bookmarkStart w:id="26" w:name="_Toc466287423"/>
      <w:r w:rsidRPr="009B1BF4">
        <w:lastRenderedPageBreak/>
        <w:t>Diversity and Equity Self-Assessment and Planning (DEAP) Tool</w:t>
      </w:r>
      <w:bookmarkEnd w:id="26"/>
      <w:r w:rsidRPr="009B1BF4">
        <w:t xml:space="preserve"> </w:t>
      </w:r>
    </w:p>
    <w:p w:rsidR="00A57453" w:rsidRPr="00A57453" w:rsidRDefault="00A57453" w:rsidP="00A57453">
      <w:r w:rsidRPr="00A57453">
        <w:t xml:space="preserve">The DEAP Tool has been developed by the Queen's University Equity Office to assist Units </w:t>
      </w:r>
      <w:proofErr w:type="gramStart"/>
      <w:r w:rsidRPr="00A57453">
        <w:t>to better understand</w:t>
      </w:r>
      <w:proofErr w:type="gramEnd"/>
      <w:r w:rsidRPr="00A57453">
        <w:t xml:space="preserve"> the environments and climate relating to equity and diversity in their Units.  Implementation of the DEAP Tool across units will be an additional method towards ensuring that the university not only meets, </w:t>
      </w:r>
      <w:proofErr w:type="gramStart"/>
      <w:r w:rsidRPr="00A57453">
        <w:t>but</w:t>
      </w:r>
      <w:proofErr w:type="gramEnd"/>
      <w:r w:rsidRPr="00A57453">
        <w:t xml:space="preserve"> in some cases, exceeds the AODA requirements.</w:t>
      </w:r>
    </w:p>
    <w:p w:rsidR="00A57453" w:rsidRPr="00A57453" w:rsidRDefault="00A57453" w:rsidP="00A57453">
      <w:r w:rsidRPr="00A57453">
        <w:t>The DEAP Tool is a self-audit tool for internal use for Units to:</w:t>
      </w:r>
    </w:p>
    <w:p w:rsidR="00A57453" w:rsidRPr="00A57453" w:rsidRDefault="00A57453" w:rsidP="00A57453">
      <w:pPr>
        <w:pStyle w:val="ListParagraph"/>
        <w:numPr>
          <w:ilvl w:val="0"/>
          <w:numId w:val="24"/>
        </w:numPr>
      </w:pPr>
      <w:r w:rsidRPr="00A57453">
        <w:t>Understand the demographic profile of their staff, faculty, and students</w:t>
      </w:r>
      <w:r>
        <w:t>;</w:t>
      </w:r>
    </w:p>
    <w:p w:rsidR="00A57453" w:rsidRPr="00A57453" w:rsidRDefault="00A57453" w:rsidP="00A57453">
      <w:pPr>
        <w:pStyle w:val="ListParagraph"/>
        <w:numPr>
          <w:ilvl w:val="0"/>
          <w:numId w:val="24"/>
        </w:numPr>
      </w:pPr>
      <w:r w:rsidRPr="00A57453">
        <w:t>Assess how inclusive the Unit is</w:t>
      </w:r>
      <w:r>
        <w:t>;</w:t>
      </w:r>
    </w:p>
    <w:p w:rsidR="00A57453" w:rsidRPr="00A57453" w:rsidRDefault="00A57453" w:rsidP="00A57453">
      <w:pPr>
        <w:pStyle w:val="ListParagraph"/>
        <w:numPr>
          <w:ilvl w:val="0"/>
          <w:numId w:val="24"/>
        </w:numPr>
      </w:pPr>
      <w:r w:rsidRPr="00A57453">
        <w:t>Provide an opportunity to reflect on areas in need of improvement using the Diversity Score Card assessment template</w:t>
      </w:r>
      <w:r>
        <w:t>;</w:t>
      </w:r>
    </w:p>
    <w:p w:rsidR="00A57453" w:rsidRPr="00A57453" w:rsidRDefault="00A57453" w:rsidP="00A57453">
      <w:pPr>
        <w:pStyle w:val="ListParagraph"/>
        <w:numPr>
          <w:ilvl w:val="0"/>
          <w:numId w:val="24"/>
        </w:numPr>
      </w:pPr>
      <w:r w:rsidRPr="00A57453">
        <w:t xml:space="preserve">Support requests for resources or modifications </w:t>
      </w:r>
      <w:r w:rsidR="00C66E90">
        <w:t xml:space="preserve">to </w:t>
      </w:r>
      <w:r w:rsidRPr="00A57453">
        <w:t>further commitments to equity and diversity</w:t>
      </w:r>
      <w:r>
        <w:t>;</w:t>
      </w:r>
    </w:p>
    <w:p w:rsidR="00A57453" w:rsidRPr="00A57453" w:rsidRDefault="00A57453" w:rsidP="00A57453">
      <w:pPr>
        <w:pStyle w:val="ListParagraph"/>
        <w:numPr>
          <w:ilvl w:val="0"/>
          <w:numId w:val="24"/>
        </w:numPr>
      </w:pPr>
      <w:r w:rsidRPr="00A57453">
        <w:t>Develop an action plan and timeline to enhance inclusion</w:t>
      </w:r>
      <w:r>
        <w:t>.</w:t>
      </w:r>
    </w:p>
    <w:p w:rsidR="00A57453" w:rsidRPr="00A57453" w:rsidRDefault="00A57453" w:rsidP="00A57453">
      <w:r w:rsidRPr="00A57453">
        <w:t xml:space="preserve">The Tool </w:t>
      </w:r>
      <w:r w:rsidR="00C66E90">
        <w:t xml:space="preserve">is </w:t>
      </w:r>
      <w:r w:rsidRPr="00A57453">
        <w:t>also designed to compl</w:t>
      </w:r>
      <w:r w:rsidR="00C66E90">
        <w:t>e</w:t>
      </w:r>
      <w:r w:rsidRPr="00A57453">
        <w:t>ment other administrative responsibilities such as:</w:t>
      </w:r>
    </w:p>
    <w:p w:rsidR="00A57453" w:rsidRPr="00A57453" w:rsidRDefault="00A57453" w:rsidP="00A57453">
      <w:pPr>
        <w:pStyle w:val="ListParagraph"/>
        <w:numPr>
          <w:ilvl w:val="0"/>
          <w:numId w:val="25"/>
        </w:numPr>
      </w:pPr>
      <w:r w:rsidRPr="00A57453">
        <w:t>Strategic Planning</w:t>
      </w:r>
      <w:r>
        <w:t>;</w:t>
      </w:r>
    </w:p>
    <w:p w:rsidR="00A57453" w:rsidRPr="00A57453" w:rsidRDefault="00A57453" w:rsidP="00A57453">
      <w:pPr>
        <w:pStyle w:val="ListParagraph"/>
        <w:numPr>
          <w:ilvl w:val="0"/>
          <w:numId w:val="25"/>
        </w:numPr>
      </w:pPr>
      <w:r w:rsidRPr="00A57453">
        <w:t>Cyclical</w:t>
      </w:r>
      <w:r w:rsidR="00C66E90">
        <w:t xml:space="preserve"> Program</w:t>
      </w:r>
      <w:r w:rsidRPr="00A57453">
        <w:t xml:space="preserve"> Review Process (CPR) and Queen's University Quality Assurance Process (QUQAP's)</w:t>
      </w:r>
      <w:r>
        <w:t>;</w:t>
      </w:r>
    </w:p>
    <w:p w:rsidR="00A57453" w:rsidRPr="00A57453" w:rsidRDefault="00A57453" w:rsidP="00A57453">
      <w:pPr>
        <w:pStyle w:val="ListParagraph"/>
        <w:numPr>
          <w:ilvl w:val="0"/>
          <w:numId w:val="25"/>
        </w:numPr>
      </w:pPr>
      <w:r w:rsidRPr="00A57453">
        <w:t>Hiring and Appointments Processes</w:t>
      </w:r>
      <w:r>
        <w:t>;</w:t>
      </w:r>
    </w:p>
    <w:p w:rsidR="00A57453" w:rsidRPr="00A57453" w:rsidRDefault="00A57453" w:rsidP="00A57453">
      <w:pPr>
        <w:pStyle w:val="ListParagraph"/>
        <w:numPr>
          <w:ilvl w:val="0"/>
          <w:numId w:val="25"/>
        </w:numPr>
      </w:pPr>
      <w:r w:rsidRPr="00A57453">
        <w:t>Implementation of the Academic Plan</w:t>
      </w:r>
      <w:r>
        <w:t>.</w:t>
      </w:r>
    </w:p>
    <w:p w:rsidR="00A85062" w:rsidRPr="0063473F" w:rsidRDefault="00A85062" w:rsidP="00673A77">
      <w:pPr>
        <w:pStyle w:val="Heading3"/>
      </w:pPr>
      <w:bookmarkStart w:id="27" w:name="_Toc448739678"/>
      <w:bookmarkStart w:id="28" w:name="_Toc466287424"/>
      <w:r w:rsidRPr="0063473F">
        <w:t>Student Wellness Services</w:t>
      </w:r>
      <w:bookmarkEnd w:id="27"/>
      <w:bookmarkEnd w:id="28"/>
    </w:p>
    <w:p w:rsidR="00A85062" w:rsidRPr="0063473F" w:rsidRDefault="00A85062" w:rsidP="00A85062">
      <w:r w:rsidRPr="0063473F">
        <w:t xml:space="preserve">Health, Counselling, and Disability Services (HCDS) was renamed the </w:t>
      </w:r>
      <w:hyperlink r:id="rId40" w:history="1">
        <w:r w:rsidRPr="0063473F">
          <w:rPr>
            <w:rStyle w:val="Hyperlink"/>
          </w:rPr>
          <w:t>S</w:t>
        </w:r>
      </w:hyperlink>
      <w:hyperlink r:id="rId41" w:history="1">
        <w:r w:rsidRPr="0063473F">
          <w:rPr>
            <w:rStyle w:val="Hyperlink"/>
          </w:rPr>
          <w:t>tudent Wellness Services</w:t>
        </w:r>
      </w:hyperlink>
      <w:r>
        <w:t xml:space="preserve"> (SWS)</w:t>
      </w:r>
      <w:r w:rsidRPr="0063473F">
        <w:t>. It is the university’s central health care and related service provider comprising four streams of service:</w:t>
      </w:r>
    </w:p>
    <w:p w:rsidR="00A85062" w:rsidRPr="0063473F" w:rsidRDefault="00A85062" w:rsidP="003D622D">
      <w:pPr>
        <w:pStyle w:val="ListParagraph"/>
        <w:numPr>
          <w:ilvl w:val="0"/>
          <w:numId w:val="17"/>
        </w:numPr>
      </w:pPr>
      <w:r w:rsidRPr="0063473F">
        <w:t>Health Promotion;</w:t>
      </w:r>
    </w:p>
    <w:p w:rsidR="00A85062" w:rsidRPr="0063473F" w:rsidRDefault="00A85062" w:rsidP="003D622D">
      <w:pPr>
        <w:pStyle w:val="ListParagraph"/>
        <w:numPr>
          <w:ilvl w:val="0"/>
          <w:numId w:val="17"/>
        </w:numPr>
      </w:pPr>
      <w:r w:rsidRPr="0063473F">
        <w:t>Student Health Services;</w:t>
      </w:r>
    </w:p>
    <w:p w:rsidR="00A85062" w:rsidRPr="0063473F" w:rsidRDefault="00A85062" w:rsidP="003D622D">
      <w:pPr>
        <w:pStyle w:val="ListParagraph"/>
        <w:numPr>
          <w:ilvl w:val="0"/>
          <w:numId w:val="17"/>
        </w:numPr>
      </w:pPr>
      <w:r w:rsidRPr="0063473F">
        <w:t>Counselling Services;</w:t>
      </w:r>
    </w:p>
    <w:p w:rsidR="00A85062" w:rsidRPr="0063473F" w:rsidRDefault="00A85062" w:rsidP="003D622D">
      <w:pPr>
        <w:pStyle w:val="ListParagraph"/>
        <w:numPr>
          <w:ilvl w:val="0"/>
          <w:numId w:val="17"/>
        </w:numPr>
      </w:pPr>
      <w:proofErr w:type="gramStart"/>
      <w:r w:rsidRPr="0063473F">
        <w:t>Queen's</w:t>
      </w:r>
      <w:proofErr w:type="gramEnd"/>
      <w:r w:rsidRPr="0063473F">
        <w:t xml:space="preserve"> Student Accessibility Services (formerly Disability Services Office).</w:t>
      </w:r>
    </w:p>
    <w:p w:rsidR="00A85062" w:rsidRPr="0063473F" w:rsidRDefault="00A85062" w:rsidP="00A85062">
      <w:pPr>
        <w:rPr>
          <w:highlight w:val="yellow"/>
        </w:rPr>
      </w:pPr>
      <w:r w:rsidRPr="0063473F">
        <w:t>SWS is committed to supporting the health and wellness of our students.</w:t>
      </w:r>
    </w:p>
    <w:p w:rsidR="00A85062" w:rsidRPr="007B43BB" w:rsidRDefault="00A85062" w:rsidP="00673A77">
      <w:pPr>
        <w:pStyle w:val="Heading4"/>
      </w:pPr>
      <w:bookmarkStart w:id="29" w:name="_Toc448739679"/>
      <w:r w:rsidRPr="007B43BB">
        <w:t>Mental Health</w:t>
      </w:r>
      <w:bookmarkEnd w:id="29"/>
    </w:p>
    <w:p w:rsidR="00A85062" w:rsidRPr="0042774B" w:rsidRDefault="00A85062" w:rsidP="00A85062">
      <w:pPr>
        <w:rPr>
          <w:rFonts w:eastAsia="Times New Roman"/>
          <w:lang w:eastAsia="en-CA"/>
        </w:rPr>
      </w:pPr>
      <w:r w:rsidRPr="0042774B">
        <w:rPr>
          <w:rFonts w:eastAsia="Times New Roman"/>
          <w:lang w:eastAsia="en-CA"/>
        </w:rPr>
        <w:t>Student Affairs offers a number of programs designed to help students, faculty and staff support those experiencing mental health issues. These programs aim to:</w:t>
      </w:r>
    </w:p>
    <w:p w:rsidR="00A85062" w:rsidRPr="0042774B" w:rsidRDefault="00A85062" w:rsidP="003D622D">
      <w:pPr>
        <w:pStyle w:val="ListParagraph"/>
        <w:numPr>
          <w:ilvl w:val="0"/>
          <w:numId w:val="18"/>
        </w:numPr>
        <w:rPr>
          <w:rFonts w:eastAsia="Times New Roman"/>
          <w:lang w:eastAsia="en-CA"/>
        </w:rPr>
      </w:pPr>
      <w:r w:rsidRPr="0042774B">
        <w:rPr>
          <w:rFonts w:eastAsia="Times New Roman"/>
          <w:lang w:eastAsia="en-CA"/>
        </w:rPr>
        <w:t>help provide timely, professional, compassionate care to students in distress</w:t>
      </w:r>
    </w:p>
    <w:p w:rsidR="00A85062" w:rsidRPr="0042774B" w:rsidRDefault="00A85062" w:rsidP="003D622D">
      <w:pPr>
        <w:pStyle w:val="ListParagraph"/>
        <w:numPr>
          <w:ilvl w:val="0"/>
          <w:numId w:val="18"/>
        </w:numPr>
        <w:rPr>
          <w:rFonts w:eastAsia="Times New Roman"/>
          <w:lang w:eastAsia="en-CA"/>
        </w:rPr>
      </w:pPr>
      <w:r w:rsidRPr="0042774B">
        <w:rPr>
          <w:rFonts w:eastAsia="Times New Roman"/>
          <w:lang w:eastAsia="en-CA"/>
        </w:rPr>
        <w:lastRenderedPageBreak/>
        <w:t>raise awareness about the personal and developmental impact of mental health problems</w:t>
      </w:r>
    </w:p>
    <w:p w:rsidR="00A85062" w:rsidRPr="0042774B" w:rsidRDefault="00A85062" w:rsidP="003D622D">
      <w:pPr>
        <w:pStyle w:val="ListParagraph"/>
        <w:numPr>
          <w:ilvl w:val="0"/>
          <w:numId w:val="18"/>
        </w:numPr>
        <w:rPr>
          <w:rFonts w:eastAsia="Times New Roman"/>
          <w:lang w:eastAsia="en-CA"/>
        </w:rPr>
      </w:pPr>
      <w:r w:rsidRPr="0042774B">
        <w:rPr>
          <w:rFonts w:eastAsia="Times New Roman"/>
          <w:lang w:eastAsia="en-CA"/>
        </w:rPr>
        <w:t>help reduce the stigma associated with mental illness</w:t>
      </w:r>
    </w:p>
    <w:p w:rsidR="00A85062" w:rsidRPr="0042774B" w:rsidRDefault="00A85062" w:rsidP="003D622D">
      <w:pPr>
        <w:pStyle w:val="ListParagraph"/>
        <w:numPr>
          <w:ilvl w:val="0"/>
          <w:numId w:val="18"/>
        </w:numPr>
        <w:rPr>
          <w:rFonts w:eastAsia="Times New Roman"/>
          <w:lang w:eastAsia="en-CA"/>
        </w:rPr>
      </w:pPr>
      <w:r w:rsidRPr="0042774B">
        <w:rPr>
          <w:rFonts w:eastAsia="Times New Roman"/>
          <w:lang w:eastAsia="en-CA"/>
        </w:rPr>
        <w:t>provide information and support to members of our community who are supporting individuals experiencing mental health challenges</w:t>
      </w:r>
    </w:p>
    <w:p w:rsidR="00A85062" w:rsidRPr="0042774B" w:rsidRDefault="00A85062" w:rsidP="003D622D">
      <w:pPr>
        <w:pStyle w:val="ListParagraph"/>
        <w:numPr>
          <w:ilvl w:val="0"/>
          <w:numId w:val="18"/>
        </w:numPr>
        <w:rPr>
          <w:rFonts w:eastAsia="Times New Roman"/>
          <w:lang w:eastAsia="en-CA"/>
        </w:rPr>
      </w:pPr>
      <w:r w:rsidRPr="0042774B">
        <w:rPr>
          <w:rFonts w:eastAsia="Times New Roman"/>
          <w:lang w:eastAsia="en-CA"/>
        </w:rPr>
        <w:t>encourage people to talk and help create more openness about mental health</w:t>
      </w:r>
    </w:p>
    <w:p w:rsidR="00A85062" w:rsidRPr="0042774B" w:rsidRDefault="00A85062" w:rsidP="00673A77">
      <w:pPr>
        <w:pStyle w:val="Heading4"/>
        <w:rPr>
          <w:lang w:eastAsia="en-CA"/>
        </w:rPr>
      </w:pPr>
      <w:r>
        <w:rPr>
          <w:lang w:eastAsia="en-CA"/>
        </w:rPr>
        <w:t xml:space="preserve">Mental Health </w:t>
      </w:r>
      <w:r>
        <w:rPr>
          <w:vanish/>
          <w:lang w:eastAsia="en-CA"/>
        </w:rPr>
        <w:t>eHHHHh</w:t>
      </w:r>
      <w:r w:rsidRPr="0042774B">
        <w:rPr>
          <w:lang w:eastAsia="en-CA"/>
        </w:rPr>
        <w:t>Training</w:t>
      </w:r>
    </w:p>
    <w:p w:rsidR="00A85062" w:rsidRPr="00A85062" w:rsidRDefault="00A85062" w:rsidP="003D622D">
      <w:pPr>
        <w:pStyle w:val="ListParagraph"/>
        <w:numPr>
          <w:ilvl w:val="0"/>
          <w:numId w:val="19"/>
        </w:numPr>
        <w:rPr>
          <w:rFonts w:eastAsia="Times New Roman"/>
          <w:lang w:eastAsia="en-CA"/>
        </w:rPr>
      </w:pPr>
      <w:r w:rsidRPr="00A85062">
        <w:rPr>
          <w:rFonts w:eastAsia="Times New Roman"/>
          <w:lang w:eastAsia="en-CA"/>
        </w:rPr>
        <w:t>Identifying and Responding to Students in Distress (IRSD)</w:t>
      </w:r>
    </w:p>
    <w:p w:rsidR="00A85062" w:rsidRPr="00A85062" w:rsidRDefault="00A85062" w:rsidP="003D622D">
      <w:pPr>
        <w:pStyle w:val="ListParagraph"/>
        <w:numPr>
          <w:ilvl w:val="0"/>
          <w:numId w:val="19"/>
        </w:numPr>
        <w:rPr>
          <w:rFonts w:eastAsia="Times New Roman"/>
          <w:lang w:eastAsia="en-CA"/>
        </w:rPr>
      </w:pPr>
      <w:r w:rsidRPr="00A85062">
        <w:rPr>
          <w:rFonts w:eastAsia="Times New Roman"/>
          <w:lang w:eastAsia="en-CA"/>
        </w:rPr>
        <w:t>Mental Health: Awareness, Anti-Stigma, Response</w:t>
      </w:r>
    </w:p>
    <w:p w:rsidR="00A85062" w:rsidRPr="00A85062" w:rsidRDefault="00A85062" w:rsidP="003D622D">
      <w:pPr>
        <w:pStyle w:val="ListParagraph"/>
        <w:numPr>
          <w:ilvl w:val="0"/>
          <w:numId w:val="19"/>
        </w:numPr>
        <w:rPr>
          <w:rFonts w:eastAsia="Times New Roman"/>
          <w:lang w:eastAsia="en-CA"/>
        </w:rPr>
      </w:pPr>
      <w:r w:rsidRPr="00A85062">
        <w:rPr>
          <w:rFonts w:eastAsia="Times New Roman"/>
          <w:lang w:eastAsia="en-CA"/>
        </w:rPr>
        <w:t>Mental Health First Aid (MHFA) Canada</w:t>
      </w:r>
    </w:p>
    <w:p w:rsidR="002972F7" w:rsidRPr="007B43BB" w:rsidRDefault="002972F7" w:rsidP="002972F7">
      <w:pPr>
        <w:pStyle w:val="Heading3"/>
      </w:pPr>
      <w:bookmarkStart w:id="30" w:name="_Toc453330024"/>
      <w:bookmarkStart w:id="31" w:name="_Toc466287425"/>
      <w:r w:rsidRPr="007B43BB">
        <w:t>Academic Accommodation Policy</w:t>
      </w:r>
      <w:bookmarkEnd w:id="30"/>
      <w:bookmarkEnd w:id="31"/>
    </w:p>
    <w:p w:rsidR="00012998" w:rsidRPr="00012998" w:rsidRDefault="00012998" w:rsidP="00012998">
      <w:r w:rsidRPr="00012998">
        <w:t xml:space="preserve">The university is building on its 1996 </w:t>
      </w:r>
      <w:hyperlink r:id="rId42" w:history="1">
        <w:r w:rsidRPr="00012998">
          <w:rPr>
            <w:rStyle w:val="Hyperlink"/>
          </w:rPr>
          <w:t>policy </w:t>
        </w:r>
      </w:hyperlink>
      <w:hyperlink r:id="rId43" w:history="1">
        <w:r w:rsidRPr="00012998">
          <w:rPr>
            <w:rStyle w:val="Hyperlink"/>
          </w:rPr>
          <w:t>concerning</w:t>
        </w:r>
      </w:hyperlink>
      <w:hyperlink r:id="rId44" w:history="1">
        <w:r w:rsidRPr="00012998">
          <w:rPr>
            <w:rStyle w:val="Hyperlink"/>
          </w:rPr>
          <w:t> students with disabilities</w:t>
        </w:r>
      </w:hyperlink>
      <w:r w:rsidRPr="00012998">
        <w:t> to detail the responsibilities of all areas of the university regarding academic accommodations for students with disabilities, as well as to reflect the Ontario Human Rights Commission's June 2014 policy document related to mental health disabilities. The updated policy and related procedures have been developed through the university’s Advisory Committee on Academic Accommodations.  The policy is expected to go to Senate early this fall. </w:t>
      </w:r>
    </w:p>
    <w:p w:rsidR="006C5D0F" w:rsidRPr="004F05F2" w:rsidRDefault="00FD4545" w:rsidP="00673A77">
      <w:pPr>
        <w:pStyle w:val="Heading3"/>
      </w:pPr>
      <w:bookmarkStart w:id="32" w:name="_Toc466287426"/>
      <w:r w:rsidRPr="004F05F2">
        <w:t>Customer Service</w:t>
      </w:r>
      <w:bookmarkEnd w:id="22"/>
      <w:bookmarkEnd w:id="23"/>
      <w:bookmarkEnd w:id="32"/>
      <w:r w:rsidRPr="004F05F2">
        <w:t xml:space="preserve"> </w:t>
      </w:r>
    </w:p>
    <w:p w:rsidR="0078510B" w:rsidRDefault="00B559E1" w:rsidP="00F52862">
      <w:pPr>
        <w:spacing w:after="0"/>
        <w:jc w:val="both"/>
        <w:rPr>
          <w:rFonts w:cstheme="minorHAnsi"/>
          <w:szCs w:val="24"/>
        </w:rPr>
      </w:pPr>
      <w:r w:rsidRPr="0078510B">
        <w:rPr>
          <w:rFonts w:cstheme="minorHAnsi"/>
          <w:szCs w:val="24"/>
        </w:rPr>
        <w:t>Queen’s is committed to ensuring that persons with disabilities receive an equitable and effective customer experience</w:t>
      </w:r>
      <w:r w:rsidR="00007F27">
        <w:rPr>
          <w:rFonts w:cstheme="minorHAnsi"/>
          <w:szCs w:val="24"/>
        </w:rPr>
        <w:t xml:space="preserve"> that accommodates their needs.</w:t>
      </w:r>
    </w:p>
    <w:p w:rsidR="00007F27" w:rsidRDefault="00007F27" w:rsidP="00007F27">
      <w:pPr>
        <w:spacing w:before="100" w:beforeAutospacing="1" w:after="100" w:afterAutospacing="1"/>
        <w:jc w:val="both"/>
        <w:rPr>
          <w:rFonts w:cstheme="minorHAnsi"/>
          <w:szCs w:val="24"/>
        </w:rPr>
      </w:pPr>
      <w:r w:rsidRPr="00ED2359">
        <w:rPr>
          <w:rFonts w:cstheme="minorHAnsi"/>
          <w:szCs w:val="24"/>
        </w:rPr>
        <w:t>We are required to have 100% compliance; currently we are at 80</w:t>
      </w:r>
      <w:r w:rsidR="00ED2359" w:rsidRPr="00ED2359">
        <w:rPr>
          <w:rFonts w:cstheme="minorHAnsi"/>
          <w:szCs w:val="24"/>
        </w:rPr>
        <w:t>.8</w:t>
      </w:r>
      <w:proofErr w:type="gramStart"/>
      <w:r w:rsidRPr="00ED2359">
        <w:rPr>
          <w:rFonts w:cstheme="minorHAnsi"/>
          <w:szCs w:val="24"/>
        </w:rPr>
        <w:t>%</w:t>
      </w:r>
      <w:r w:rsidR="00ED2359" w:rsidRPr="00ED2359">
        <w:rPr>
          <w:rFonts w:cstheme="minorHAnsi"/>
          <w:szCs w:val="24"/>
        </w:rPr>
        <w:t xml:space="preserve"> which</w:t>
      </w:r>
      <w:proofErr w:type="gramEnd"/>
      <w:r w:rsidR="00ED2359" w:rsidRPr="00ED2359">
        <w:rPr>
          <w:rFonts w:cstheme="minorHAnsi"/>
          <w:szCs w:val="24"/>
        </w:rPr>
        <w:t xml:space="preserve"> remained relatively unchanged from May 2015 rate of 80.6%.</w:t>
      </w:r>
    </w:p>
    <w:p w:rsidR="000C7853" w:rsidRPr="00007F27" w:rsidRDefault="00B559E1" w:rsidP="0042582C">
      <w:pPr>
        <w:pStyle w:val="ListParagraph"/>
        <w:numPr>
          <w:ilvl w:val="0"/>
          <w:numId w:val="8"/>
        </w:numPr>
        <w:spacing w:after="0"/>
        <w:jc w:val="both"/>
        <w:rPr>
          <w:rFonts w:cstheme="minorHAnsi"/>
          <w:szCs w:val="24"/>
        </w:rPr>
      </w:pPr>
      <w:r w:rsidRPr="00007F27">
        <w:rPr>
          <w:rFonts w:cstheme="minorHAnsi"/>
          <w:szCs w:val="24"/>
        </w:rPr>
        <w:t xml:space="preserve">The </w:t>
      </w:r>
      <w:r w:rsidR="00FD4545" w:rsidRPr="00007F27">
        <w:rPr>
          <w:rFonts w:cstheme="minorHAnsi"/>
          <w:szCs w:val="24"/>
        </w:rPr>
        <w:t xml:space="preserve">University must </w:t>
      </w:r>
      <w:r w:rsidR="00631680" w:rsidRPr="00007F27">
        <w:rPr>
          <w:rFonts w:cstheme="minorHAnsi"/>
          <w:szCs w:val="24"/>
        </w:rPr>
        <w:t>ensure that</w:t>
      </w:r>
      <w:r w:rsidR="00FD4545" w:rsidRPr="00007F27">
        <w:rPr>
          <w:rFonts w:cstheme="minorHAnsi"/>
          <w:szCs w:val="24"/>
        </w:rPr>
        <w:t xml:space="preserve"> everyone who acts on behalf of the institution and who communicates and interacts with persons with disabilities</w:t>
      </w:r>
      <w:r w:rsidR="00631680" w:rsidRPr="00007F27">
        <w:rPr>
          <w:rFonts w:cstheme="minorHAnsi"/>
          <w:szCs w:val="24"/>
        </w:rPr>
        <w:t xml:space="preserve"> has completed the Accessible Customer Service Training.</w:t>
      </w:r>
    </w:p>
    <w:p w:rsidR="001076FD" w:rsidRPr="00AF650E" w:rsidRDefault="001076FD" w:rsidP="003D622D">
      <w:pPr>
        <w:pStyle w:val="ListParagraph"/>
        <w:numPr>
          <w:ilvl w:val="0"/>
          <w:numId w:val="7"/>
        </w:numPr>
        <w:jc w:val="both"/>
        <w:rPr>
          <w:rFonts w:cstheme="minorHAnsi"/>
          <w:szCs w:val="24"/>
        </w:rPr>
      </w:pPr>
      <w:r w:rsidRPr="00AF650E">
        <w:rPr>
          <w:rFonts w:cstheme="minorHAnsi"/>
          <w:szCs w:val="24"/>
        </w:rPr>
        <w:t>Accessibility feedback mechanisms continue to remain in place. The Equity Office is responsible for receiving the feedback, then direct</w:t>
      </w:r>
      <w:r w:rsidR="004F05F2" w:rsidRPr="00AF650E">
        <w:rPr>
          <w:rFonts w:cstheme="minorHAnsi"/>
          <w:szCs w:val="24"/>
        </w:rPr>
        <w:t>ing</w:t>
      </w:r>
      <w:r w:rsidRPr="00AF650E">
        <w:rPr>
          <w:rFonts w:cstheme="minorHAnsi"/>
          <w:szCs w:val="24"/>
        </w:rPr>
        <w:t xml:space="preserve"> the issue to the appropriate department for action and follow-up. In addition, such feedback is brought to the appropriate Working Group’s attention for both monitoring purposes and consideration for future planning.</w:t>
      </w:r>
    </w:p>
    <w:p w:rsidR="00AF650E" w:rsidRDefault="00AF650E" w:rsidP="003D622D">
      <w:pPr>
        <w:pStyle w:val="ListParagraph"/>
        <w:numPr>
          <w:ilvl w:val="0"/>
          <w:numId w:val="7"/>
        </w:numPr>
        <w:jc w:val="both"/>
        <w:rPr>
          <w:rFonts w:cstheme="minorHAnsi"/>
          <w:szCs w:val="24"/>
        </w:rPr>
      </w:pPr>
      <w:r w:rsidRPr="00AF650E">
        <w:rPr>
          <w:rFonts w:cstheme="minorHAnsi"/>
          <w:szCs w:val="24"/>
        </w:rPr>
        <w:t>An over-arching AODA policy and statement of organizational commitment is being developed.</w:t>
      </w:r>
    </w:p>
    <w:p w:rsidR="00571533" w:rsidRPr="002E7E20" w:rsidRDefault="00D4105B" w:rsidP="002E7E20">
      <w:pPr>
        <w:pStyle w:val="Heading2"/>
      </w:pPr>
      <w:bookmarkStart w:id="33" w:name="_Toc466287427"/>
      <w:r w:rsidRPr="002E7E20">
        <w:lastRenderedPageBreak/>
        <w:t>Information &amp; Communications</w:t>
      </w:r>
      <w:bookmarkEnd w:id="33"/>
    </w:p>
    <w:p w:rsidR="0078510B" w:rsidRDefault="0078510B" w:rsidP="0078510B">
      <w:pPr>
        <w:rPr>
          <w:szCs w:val="24"/>
        </w:rPr>
      </w:pPr>
      <w:r w:rsidRPr="0078510B">
        <w:rPr>
          <w:szCs w:val="24"/>
        </w:rPr>
        <w:t>Communicating and providing</w:t>
      </w:r>
      <w:r>
        <w:rPr>
          <w:szCs w:val="24"/>
        </w:rPr>
        <w:t xml:space="preserve"> information in ways that work for all is another cornerstone of building an accessible organization. </w:t>
      </w:r>
    </w:p>
    <w:p w:rsidR="001B65CD" w:rsidRDefault="001B65CD" w:rsidP="003D622D">
      <w:pPr>
        <w:pStyle w:val="ListParagraph"/>
        <w:numPr>
          <w:ilvl w:val="0"/>
          <w:numId w:val="11"/>
        </w:numPr>
        <w:rPr>
          <w:szCs w:val="24"/>
        </w:rPr>
      </w:pPr>
      <w:r>
        <w:rPr>
          <w:szCs w:val="24"/>
        </w:rPr>
        <w:t xml:space="preserve">Educational or training resources or materials are provided in accessible formats </w:t>
      </w:r>
      <w:r w:rsidR="002B7469">
        <w:rPr>
          <w:szCs w:val="24"/>
        </w:rPr>
        <w:t>upon request</w:t>
      </w:r>
      <w:r w:rsidR="0062640B">
        <w:rPr>
          <w:szCs w:val="24"/>
        </w:rPr>
        <w:t>;</w:t>
      </w:r>
    </w:p>
    <w:p w:rsidR="0062640B" w:rsidRPr="0062640B" w:rsidRDefault="0062640B" w:rsidP="003D622D">
      <w:pPr>
        <w:pStyle w:val="ListParagraph"/>
        <w:numPr>
          <w:ilvl w:val="0"/>
          <w:numId w:val="11"/>
        </w:numPr>
        <w:jc w:val="both"/>
        <w:rPr>
          <w:rFonts w:cstheme="minorHAnsi"/>
          <w:szCs w:val="24"/>
        </w:rPr>
      </w:pPr>
      <w:r w:rsidRPr="0062640B">
        <w:rPr>
          <w:rFonts w:cstheme="minorHAnsi"/>
          <w:szCs w:val="24"/>
        </w:rPr>
        <w:t>Ensuring our feedback processes are accessible to persons with disabilities.</w:t>
      </w:r>
      <w:r>
        <w:rPr>
          <w:rFonts w:cstheme="minorHAnsi"/>
          <w:szCs w:val="24"/>
        </w:rPr>
        <w:t xml:space="preserve"> </w:t>
      </w:r>
      <w:hyperlink r:id="rId45" w:history="1">
        <w:r w:rsidRPr="009F0E4B">
          <w:rPr>
            <w:rStyle w:val="Hyperlink"/>
            <w:rFonts w:cstheme="minorHAnsi"/>
          </w:rPr>
          <w:t>Accessibility Feedback Online Form</w:t>
        </w:r>
      </w:hyperlink>
      <w:r>
        <w:rPr>
          <w:rFonts w:cstheme="minorHAnsi"/>
          <w:color w:val="000000"/>
        </w:rPr>
        <w:t xml:space="preserve"> ;</w:t>
      </w:r>
    </w:p>
    <w:p w:rsidR="0062640B" w:rsidRDefault="0062640B" w:rsidP="003D622D">
      <w:pPr>
        <w:pStyle w:val="ListParagraph"/>
        <w:numPr>
          <w:ilvl w:val="0"/>
          <w:numId w:val="11"/>
        </w:numPr>
        <w:jc w:val="both"/>
        <w:rPr>
          <w:rFonts w:cstheme="minorHAnsi"/>
          <w:szCs w:val="24"/>
        </w:rPr>
      </w:pPr>
      <w:r w:rsidRPr="0062640B">
        <w:rPr>
          <w:rFonts w:cstheme="minorHAnsi"/>
          <w:szCs w:val="24"/>
        </w:rPr>
        <w:t>Ensuring new internet websites and web content conform to established WWW Consortium Web Content Accessibility Guidelines (W</w:t>
      </w:r>
      <w:r>
        <w:rPr>
          <w:rFonts w:cstheme="minorHAnsi"/>
          <w:szCs w:val="24"/>
        </w:rPr>
        <w:t>CAG) 2.0., initially at Level A;</w:t>
      </w:r>
    </w:p>
    <w:p w:rsidR="0062640B" w:rsidRPr="00443D0A" w:rsidRDefault="0062640B" w:rsidP="003D622D">
      <w:pPr>
        <w:pStyle w:val="ListParagraph"/>
        <w:numPr>
          <w:ilvl w:val="1"/>
          <w:numId w:val="11"/>
        </w:numPr>
        <w:rPr>
          <w:b/>
          <w:szCs w:val="24"/>
        </w:rPr>
      </w:pPr>
      <w:r>
        <w:rPr>
          <w:szCs w:val="24"/>
        </w:rPr>
        <w:t>ITServices has again purchased a one-year subscription to Site Improve.</w:t>
      </w:r>
    </w:p>
    <w:p w:rsidR="0062640B" w:rsidRPr="00E9095C" w:rsidRDefault="0062640B" w:rsidP="003D622D">
      <w:pPr>
        <w:pStyle w:val="ListParagraph"/>
        <w:numPr>
          <w:ilvl w:val="1"/>
          <w:numId w:val="11"/>
        </w:numPr>
        <w:rPr>
          <w:b/>
          <w:szCs w:val="24"/>
        </w:rPr>
      </w:pPr>
      <w:r w:rsidRPr="00E9095C">
        <w:rPr>
          <w:szCs w:val="24"/>
        </w:rPr>
        <w:t xml:space="preserve">The Information and Communications Working Group </w:t>
      </w:r>
      <w:r w:rsidRPr="00E9095C">
        <w:rPr>
          <w:rFonts w:cs="Arial"/>
        </w:rPr>
        <w:t>created an inventory and gathered some basic data on all Queen’s websites from colleagues across campus so that its members could better understand Queen’s current rate of compliance.</w:t>
      </w:r>
      <w:r w:rsidRPr="00E9095C">
        <w:rPr>
          <w:szCs w:val="24"/>
        </w:rPr>
        <w:t xml:space="preserve"> </w:t>
      </w:r>
    </w:p>
    <w:p w:rsidR="0062640B" w:rsidRPr="00E9095C" w:rsidRDefault="0062640B" w:rsidP="003D622D">
      <w:pPr>
        <w:pStyle w:val="ListParagraph"/>
        <w:numPr>
          <w:ilvl w:val="1"/>
          <w:numId w:val="11"/>
        </w:numPr>
        <w:rPr>
          <w:szCs w:val="24"/>
        </w:rPr>
      </w:pPr>
      <w:r w:rsidRPr="00E9095C">
        <w:rPr>
          <w:szCs w:val="24"/>
        </w:rPr>
        <w:t>The University reported to the ADO that new internet websites and their content conform to the World Wide Web Consortium Web Content Accessibility Guidelines (WCAG) 2.0 Level A (IASR s. 14).</w:t>
      </w:r>
    </w:p>
    <w:p w:rsidR="0062640B" w:rsidRDefault="0062640B" w:rsidP="003D622D">
      <w:pPr>
        <w:pStyle w:val="ListParagraph"/>
        <w:numPr>
          <w:ilvl w:val="1"/>
          <w:numId w:val="11"/>
        </w:numPr>
        <w:rPr>
          <w:szCs w:val="24"/>
        </w:rPr>
      </w:pPr>
      <w:r w:rsidRPr="00E9095C">
        <w:rPr>
          <w:szCs w:val="24"/>
        </w:rPr>
        <w:t>The Information and Communications Working Group will continue to monitor Queen’s websites and departmental compliance efforts every six months.</w:t>
      </w:r>
    </w:p>
    <w:p w:rsidR="006A3BE4" w:rsidRPr="006A3BE4" w:rsidRDefault="006A3BE4" w:rsidP="003D622D">
      <w:pPr>
        <w:pStyle w:val="ListParagraph"/>
        <w:numPr>
          <w:ilvl w:val="0"/>
          <w:numId w:val="11"/>
        </w:numPr>
        <w:rPr>
          <w:szCs w:val="24"/>
        </w:rPr>
      </w:pPr>
      <w:r w:rsidRPr="006A3BE4">
        <w:rPr>
          <w:szCs w:val="24"/>
        </w:rPr>
        <w:t>Upon request Queen’s will provide or arrange for the provision of accessible formats and communication supports for persons with disabilities in a timely manner and at a cost no greater than the regula</w:t>
      </w:r>
      <w:r>
        <w:rPr>
          <w:szCs w:val="24"/>
        </w:rPr>
        <w:t>r cost charged to other persons;</w:t>
      </w:r>
    </w:p>
    <w:p w:rsidR="006A3BE4" w:rsidRPr="006A3BE4" w:rsidRDefault="006A3BE4" w:rsidP="003D622D">
      <w:pPr>
        <w:pStyle w:val="ListParagraph"/>
        <w:numPr>
          <w:ilvl w:val="0"/>
          <w:numId w:val="11"/>
        </w:numPr>
        <w:rPr>
          <w:szCs w:val="24"/>
        </w:rPr>
      </w:pPr>
      <w:r w:rsidRPr="006A3BE4">
        <w:rPr>
          <w:szCs w:val="24"/>
        </w:rPr>
        <w:t>Upon request Queen’s libraries will provide, procure, or acquire by other means an accessible or conversion ready format of print materials</w:t>
      </w:r>
      <w:r>
        <w:rPr>
          <w:szCs w:val="24"/>
        </w:rPr>
        <w:t xml:space="preserve"> for a person with a disability;</w:t>
      </w:r>
    </w:p>
    <w:p w:rsidR="006A3BE4" w:rsidRPr="006A3BE4" w:rsidRDefault="006A3BE4" w:rsidP="003D622D">
      <w:pPr>
        <w:pStyle w:val="ListParagraph"/>
        <w:numPr>
          <w:ilvl w:val="0"/>
          <w:numId w:val="11"/>
        </w:numPr>
        <w:rPr>
          <w:szCs w:val="24"/>
        </w:rPr>
      </w:pPr>
      <w:r w:rsidRPr="006A3BE4">
        <w:rPr>
          <w:szCs w:val="24"/>
        </w:rPr>
        <w:t>Ensur</w:t>
      </w:r>
      <w:r w:rsidR="009D33BB">
        <w:rPr>
          <w:szCs w:val="24"/>
        </w:rPr>
        <w:t>e</w:t>
      </w:r>
      <w:r w:rsidRPr="006A3BE4">
        <w:rPr>
          <w:szCs w:val="24"/>
        </w:rPr>
        <w:t xml:space="preserve"> that E-reserve materials are scanned for basic accessibility and will be transcribed into alternate formats upon request, if a student has a perceptual disability.</w:t>
      </w:r>
    </w:p>
    <w:p w:rsidR="00D012E6" w:rsidRDefault="00D012E6" w:rsidP="00673A77">
      <w:pPr>
        <w:pStyle w:val="Heading3"/>
      </w:pPr>
      <w:bookmarkStart w:id="34" w:name="_Toc466287428"/>
      <w:r>
        <w:t>Employment</w:t>
      </w:r>
      <w:bookmarkEnd w:id="34"/>
    </w:p>
    <w:p w:rsidR="00FF0FF2" w:rsidRPr="006478E2" w:rsidRDefault="00FF0FF2" w:rsidP="00FF0FF2">
      <w:pPr>
        <w:rPr>
          <w:szCs w:val="24"/>
        </w:rPr>
      </w:pPr>
      <w:r w:rsidRPr="006478E2">
        <w:rPr>
          <w:szCs w:val="24"/>
        </w:rPr>
        <w:t xml:space="preserve">The process of finding, getting and keeping a job must be inclusive and accessible in order to build an engaged and effective workforce at </w:t>
      </w:r>
      <w:proofErr w:type="gramStart"/>
      <w:r w:rsidRPr="006478E2">
        <w:rPr>
          <w:szCs w:val="24"/>
        </w:rPr>
        <w:t>Queen’s</w:t>
      </w:r>
      <w:proofErr w:type="gramEnd"/>
      <w:r w:rsidRPr="006478E2">
        <w:rPr>
          <w:szCs w:val="24"/>
        </w:rPr>
        <w:t>.</w:t>
      </w:r>
    </w:p>
    <w:p w:rsidR="00E17EB1" w:rsidRDefault="00420EF7" w:rsidP="003D622D">
      <w:pPr>
        <w:pStyle w:val="ListParagraph"/>
        <w:numPr>
          <w:ilvl w:val="0"/>
          <w:numId w:val="10"/>
        </w:numPr>
        <w:rPr>
          <w:szCs w:val="24"/>
        </w:rPr>
      </w:pPr>
      <w:r w:rsidRPr="00E17EB1">
        <w:rPr>
          <w:szCs w:val="24"/>
        </w:rPr>
        <w:t>Queen’s has put in place an on-going process to</w:t>
      </w:r>
      <w:r w:rsidR="00FF0FF2" w:rsidRPr="00E17EB1">
        <w:rPr>
          <w:szCs w:val="24"/>
        </w:rPr>
        <w:t xml:space="preserve"> </w:t>
      </w:r>
      <w:r w:rsidRPr="00E17EB1">
        <w:rPr>
          <w:szCs w:val="24"/>
        </w:rPr>
        <w:t xml:space="preserve">develop, implement, and monitor </w:t>
      </w:r>
      <w:r w:rsidR="00FF0FF2" w:rsidRPr="00E17EB1">
        <w:rPr>
          <w:szCs w:val="24"/>
        </w:rPr>
        <w:t>individual workplace emergency response plans for employees with disabilities</w:t>
      </w:r>
      <w:r w:rsidRPr="00E17EB1">
        <w:rPr>
          <w:szCs w:val="24"/>
        </w:rPr>
        <w:t>, as required</w:t>
      </w:r>
      <w:r w:rsidR="00B120FB" w:rsidRPr="00E17EB1">
        <w:rPr>
          <w:szCs w:val="24"/>
        </w:rPr>
        <w:t>.</w:t>
      </w:r>
    </w:p>
    <w:p w:rsidR="006A3BE4" w:rsidRPr="00E17EB1" w:rsidRDefault="006A3BE4" w:rsidP="003D622D">
      <w:pPr>
        <w:pStyle w:val="ListParagraph"/>
        <w:numPr>
          <w:ilvl w:val="0"/>
          <w:numId w:val="10"/>
        </w:numPr>
        <w:rPr>
          <w:szCs w:val="24"/>
        </w:rPr>
      </w:pPr>
      <w:r w:rsidRPr="00E17EB1">
        <w:rPr>
          <w:szCs w:val="24"/>
        </w:rPr>
        <w:t xml:space="preserve">Queen’s has developed a(n) </w:t>
      </w:r>
      <w:hyperlink r:id="rId46" w:history="1">
        <w:r w:rsidRPr="00E17EB1">
          <w:rPr>
            <w:rStyle w:val="Hyperlink"/>
            <w:szCs w:val="24"/>
          </w:rPr>
          <w:t>Accommodation of Disabilities in the Workplace Policy</w:t>
        </w:r>
      </w:hyperlink>
      <w:r w:rsidRPr="00E17EB1">
        <w:rPr>
          <w:szCs w:val="24"/>
        </w:rPr>
        <w:t xml:space="preserve">, </w:t>
      </w:r>
      <w:hyperlink r:id="rId47" w:history="1">
        <w:r w:rsidRPr="00E17EB1">
          <w:rPr>
            <w:rStyle w:val="Hyperlink"/>
            <w:szCs w:val="24"/>
          </w:rPr>
          <w:t>Individualized Accommodation Procedures</w:t>
        </w:r>
      </w:hyperlink>
      <w:r w:rsidRPr="00E17EB1">
        <w:rPr>
          <w:szCs w:val="24"/>
        </w:rPr>
        <w:t xml:space="preserve">, </w:t>
      </w:r>
      <w:hyperlink r:id="rId48" w:history="1">
        <w:r w:rsidRPr="00E17EB1">
          <w:rPr>
            <w:rStyle w:val="Hyperlink"/>
            <w:szCs w:val="24"/>
          </w:rPr>
          <w:t>Disability Accommodation Guidelines</w:t>
        </w:r>
      </w:hyperlink>
      <w:r w:rsidRPr="00E17EB1">
        <w:rPr>
          <w:szCs w:val="24"/>
        </w:rPr>
        <w:t xml:space="preserve">, </w:t>
      </w:r>
      <w:hyperlink r:id="rId49" w:history="1">
        <w:r w:rsidRPr="00E17EB1">
          <w:rPr>
            <w:rStyle w:val="Hyperlink"/>
            <w:szCs w:val="24"/>
          </w:rPr>
          <w:t>Return to Work Policy</w:t>
        </w:r>
      </w:hyperlink>
      <w:r w:rsidRPr="00E17EB1">
        <w:rPr>
          <w:szCs w:val="24"/>
        </w:rPr>
        <w:t xml:space="preserve">, and </w:t>
      </w:r>
      <w:hyperlink r:id="rId50" w:history="1">
        <w:r w:rsidRPr="00E17EB1">
          <w:rPr>
            <w:rStyle w:val="Hyperlink"/>
            <w:szCs w:val="24"/>
          </w:rPr>
          <w:t>Return to Work Procedure </w:t>
        </w:r>
      </w:hyperlink>
      <w:r w:rsidRPr="00E17EB1">
        <w:rPr>
          <w:szCs w:val="24"/>
        </w:rPr>
        <w:t xml:space="preserve"> .</w:t>
      </w:r>
    </w:p>
    <w:p w:rsidR="00D012E6" w:rsidRDefault="00D012E6" w:rsidP="00673A77">
      <w:pPr>
        <w:pStyle w:val="Heading3"/>
      </w:pPr>
      <w:bookmarkStart w:id="35" w:name="_Toc466287429"/>
      <w:r w:rsidRPr="00673A77">
        <w:t>Built Environment</w:t>
      </w:r>
      <w:bookmarkEnd w:id="35"/>
    </w:p>
    <w:p w:rsidR="00D012E6" w:rsidRPr="006478E2" w:rsidRDefault="005D6572" w:rsidP="00D012E6">
      <w:pPr>
        <w:rPr>
          <w:szCs w:val="24"/>
        </w:rPr>
      </w:pPr>
      <w:r w:rsidRPr="006478E2">
        <w:rPr>
          <w:szCs w:val="24"/>
        </w:rPr>
        <w:lastRenderedPageBreak/>
        <w:t>Queen’s is committed to greater accessibility into, out of, and around our facilities.</w:t>
      </w:r>
      <w:r w:rsidR="00E17EB1">
        <w:rPr>
          <w:szCs w:val="24"/>
        </w:rPr>
        <w:t xml:space="preserve"> </w:t>
      </w:r>
    </w:p>
    <w:p w:rsidR="00E17EB1" w:rsidRPr="00E17EB1" w:rsidRDefault="00E17EB1" w:rsidP="003D622D">
      <w:pPr>
        <w:pStyle w:val="ListParagraph"/>
        <w:numPr>
          <w:ilvl w:val="0"/>
          <w:numId w:val="20"/>
        </w:numPr>
      </w:pPr>
      <w:r w:rsidRPr="00E17EB1">
        <w:t>Newly constructed and redeveloped outdoor public use eating areas shall adhere to accessibility requirements</w:t>
      </w:r>
      <w:r>
        <w:t>;</w:t>
      </w:r>
    </w:p>
    <w:p w:rsidR="00E17EB1" w:rsidRPr="00E17EB1" w:rsidRDefault="00E17EB1" w:rsidP="003D622D">
      <w:pPr>
        <w:pStyle w:val="ListParagraph"/>
        <w:numPr>
          <w:ilvl w:val="0"/>
          <w:numId w:val="20"/>
        </w:numPr>
      </w:pPr>
      <w:r w:rsidRPr="00E17EB1">
        <w:t>Newly constructed and redeveloped exterior paths of travel shall adhere to accessibility requirements</w:t>
      </w:r>
      <w:r>
        <w:t>;</w:t>
      </w:r>
    </w:p>
    <w:p w:rsidR="00E17EB1" w:rsidRPr="00E17EB1" w:rsidRDefault="00E17EB1" w:rsidP="003D622D">
      <w:pPr>
        <w:pStyle w:val="ListParagraph"/>
        <w:numPr>
          <w:ilvl w:val="0"/>
          <w:numId w:val="20"/>
        </w:numPr>
      </w:pPr>
      <w:r w:rsidRPr="00E17EB1">
        <w:t>Newly constructed and redeveloped off-street parking facilities and on-street parking spaces shall adhere to accessibility requirements</w:t>
      </w:r>
      <w:r>
        <w:t>;</w:t>
      </w:r>
    </w:p>
    <w:p w:rsidR="00E17EB1" w:rsidRPr="00E17EB1" w:rsidRDefault="00E17EB1" w:rsidP="003D622D">
      <w:pPr>
        <w:pStyle w:val="ListParagraph"/>
        <w:numPr>
          <w:ilvl w:val="0"/>
          <w:numId w:val="20"/>
        </w:numPr>
      </w:pPr>
      <w:r w:rsidRPr="00E17EB1">
        <w:t>New service counters (inclusive of replacing existing service counters) shall adhere to accessibility requirements</w:t>
      </w:r>
      <w:r>
        <w:t>;</w:t>
      </w:r>
    </w:p>
    <w:p w:rsidR="00E17EB1" w:rsidRPr="00E17EB1" w:rsidRDefault="00E17EB1" w:rsidP="003D622D">
      <w:pPr>
        <w:pStyle w:val="ListParagraph"/>
        <w:numPr>
          <w:ilvl w:val="0"/>
          <w:numId w:val="20"/>
        </w:numPr>
      </w:pPr>
      <w:r w:rsidRPr="00E17EB1">
        <w:t>Fixed queuing guides shall adhere to accessibility requirements</w:t>
      </w:r>
      <w:r>
        <w:t>;</w:t>
      </w:r>
    </w:p>
    <w:p w:rsidR="00E17EB1" w:rsidRPr="00E17EB1" w:rsidRDefault="00E17EB1" w:rsidP="003D622D">
      <w:pPr>
        <w:pStyle w:val="ListParagraph"/>
        <w:numPr>
          <w:ilvl w:val="0"/>
          <w:numId w:val="20"/>
        </w:numPr>
      </w:pPr>
      <w:r w:rsidRPr="00E17EB1">
        <w:t>Newly constructed or redeveloped waiting area where the seating is fixed to the floor shall adhere to accessibility requirements</w:t>
      </w:r>
      <w:r>
        <w:t>;</w:t>
      </w:r>
    </w:p>
    <w:p w:rsidR="00E17EB1" w:rsidRPr="00E17EB1" w:rsidRDefault="00E17EB1" w:rsidP="003D622D">
      <w:pPr>
        <w:pStyle w:val="ListParagraph"/>
        <w:numPr>
          <w:ilvl w:val="0"/>
          <w:numId w:val="20"/>
        </w:numPr>
        <w:rPr>
          <w:b/>
          <w:bCs/>
        </w:rPr>
      </w:pPr>
      <w:r w:rsidRPr="00E17EB1">
        <w:t>Queen’s Accessibility Plan shall include procedures for preventative and emergency maintenance of accessible elements in public spaces and procedures for dealing with temporary disruptions when required accessible elements are not in working order</w:t>
      </w:r>
      <w:r w:rsidRPr="00E17EB1">
        <w:rPr>
          <w:b/>
          <w:bCs/>
        </w:rPr>
        <w:t>.</w:t>
      </w:r>
    </w:p>
    <w:p w:rsidR="005D6572" w:rsidRDefault="00D012E6" w:rsidP="00673A77">
      <w:pPr>
        <w:pStyle w:val="Heading3"/>
      </w:pPr>
      <w:bookmarkStart w:id="36" w:name="_Toc466287430"/>
      <w:r>
        <w:t>Education, Training, &amp; Awareness</w:t>
      </w:r>
      <w:bookmarkEnd w:id="36"/>
    </w:p>
    <w:p w:rsidR="005C2CE2" w:rsidRDefault="005C2CE2" w:rsidP="005C2CE2">
      <w:pPr>
        <w:jc w:val="both"/>
        <w:rPr>
          <w:rFonts w:cstheme="minorHAnsi"/>
          <w:szCs w:val="24"/>
        </w:rPr>
      </w:pPr>
      <w:r w:rsidRPr="009F0E4B">
        <w:rPr>
          <w:rFonts w:cstheme="minorHAnsi"/>
          <w:szCs w:val="24"/>
        </w:rPr>
        <w:t>Queen’s recognizes the importance of collaboration in order to share and gain expertise.</w:t>
      </w:r>
      <w:r w:rsidRPr="005C2CE2">
        <w:rPr>
          <w:rFonts w:cstheme="minorHAnsi"/>
          <w:szCs w:val="24"/>
        </w:rPr>
        <w:t xml:space="preserve"> </w:t>
      </w:r>
      <w:r w:rsidR="00D92AC9">
        <w:rPr>
          <w:rFonts w:cstheme="minorHAnsi"/>
          <w:szCs w:val="24"/>
        </w:rPr>
        <w:t>W</w:t>
      </w:r>
      <w:r>
        <w:rPr>
          <w:rFonts w:cstheme="minorHAnsi"/>
          <w:szCs w:val="24"/>
        </w:rPr>
        <w:t>e continue to</w:t>
      </w:r>
      <w:r w:rsidRPr="009F0E4B">
        <w:rPr>
          <w:rFonts w:cstheme="minorHAnsi"/>
          <w:szCs w:val="24"/>
        </w:rPr>
        <w:t xml:space="preserve"> s</w:t>
      </w:r>
      <w:r>
        <w:rPr>
          <w:rFonts w:cstheme="minorHAnsi"/>
          <w:szCs w:val="24"/>
        </w:rPr>
        <w:t>trengthen our</w:t>
      </w:r>
      <w:r w:rsidRPr="009F0E4B">
        <w:rPr>
          <w:rFonts w:cstheme="minorHAnsi"/>
          <w:szCs w:val="24"/>
        </w:rPr>
        <w:t xml:space="preserve"> capacity to inform, educate, </w:t>
      </w:r>
      <w:r w:rsidR="00D92AC9">
        <w:rPr>
          <w:rFonts w:cstheme="minorHAnsi"/>
          <w:szCs w:val="24"/>
        </w:rPr>
        <w:t xml:space="preserve">raise awareness, </w:t>
      </w:r>
      <w:r w:rsidRPr="009F0E4B">
        <w:rPr>
          <w:rFonts w:cstheme="minorHAnsi"/>
          <w:szCs w:val="24"/>
        </w:rPr>
        <w:t>and involve both persons with and without disabilities on and off campus.</w:t>
      </w:r>
    </w:p>
    <w:p w:rsidR="0088460A" w:rsidRPr="005C2CE2" w:rsidRDefault="0088460A" w:rsidP="00673A77">
      <w:pPr>
        <w:pStyle w:val="Heading4"/>
      </w:pPr>
      <w:r>
        <w:t>AODA Training Suite</w:t>
      </w:r>
    </w:p>
    <w:p w:rsidR="0088460A" w:rsidRPr="0088460A" w:rsidRDefault="0088460A" w:rsidP="0088460A">
      <w:pPr>
        <w:rPr>
          <w:szCs w:val="24"/>
        </w:rPr>
      </w:pPr>
      <w:r w:rsidRPr="0088460A">
        <w:rPr>
          <w:szCs w:val="24"/>
        </w:rPr>
        <w:t>Online training was provided on the requirements of the accessibility standards under Ontario Regulations 429/07 and 191/11 and on the Ontario Human Rights Code</w:t>
      </w:r>
      <w:proofErr w:type="gramStart"/>
      <w:r w:rsidRPr="0088460A">
        <w:rPr>
          <w:szCs w:val="24"/>
        </w:rPr>
        <w:t>;</w:t>
      </w:r>
      <w:proofErr w:type="gramEnd"/>
    </w:p>
    <w:p w:rsidR="0088460A" w:rsidRPr="002A1FE6" w:rsidRDefault="0088460A" w:rsidP="003D622D">
      <w:pPr>
        <w:pStyle w:val="ListParagraph"/>
        <w:numPr>
          <w:ilvl w:val="0"/>
          <w:numId w:val="21"/>
        </w:numPr>
        <w:rPr>
          <w:szCs w:val="24"/>
        </w:rPr>
      </w:pPr>
      <w:r w:rsidRPr="002A1FE6">
        <w:rPr>
          <w:szCs w:val="24"/>
        </w:rPr>
        <w:t xml:space="preserve">The </w:t>
      </w:r>
      <w:hyperlink r:id="rId51" w:history="1">
        <w:r w:rsidRPr="002A1FE6">
          <w:rPr>
            <w:rStyle w:val="Hyperlink"/>
            <w:szCs w:val="24"/>
          </w:rPr>
          <w:t>Queen’s AODA Training Suite</w:t>
        </w:r>
      </w:hyperlink>
      <w:r w:rsidRPr="002A1FE6">
        <w:rPr>
          <w:szCs w:val="24"/>
        </w:rPr>
        <w:t xml:space="preserve"> can be fou</w:t>
      </w:r>
      <w:r>
        <w:rPr>
          <w:szCs w:val="24"/>
        </w:rPr>
        <w:t>nd on the Equity Office website;</w:t>
      </w:r>
    </w:p>
    <w:p w:rsidR="0088460A" w:rsidRPr="002A1FE6" w:rsidRDefault="0088460A" w:rsidP="003D622D">
      <w:pPr>
        <w:pStyle w:val="ListParagraph"/>
        <w:numPr>
          <w:ilvl w:val="0"/>
          <w:numId w:val="21"/>
        </w:numPr>
        <w:rPr>
          <w:szCs w:val="24"/>
        </w:rPr>
      </w:pPr>
      <w:r w:rsidRPr="002A1FE6">
        <w:rPr>
          <w:szCs w:val="24"/>
        </w:rPr>
        <w:t>Face to face training was made available upon request</w:t>
      </w:r>
      <w:r>
        <w:rPr>
          <w:szCs w:val="24"/>
        </w:rPr>
        <w:t>;</w:t>
      </w:r>
    </w:p>
    <w:p w:rsidR="0088460A" w:rsidRPr="002A1FE6" w:rsidRDefault="0088460A" w:rsidP="003D622D">
      <w:pPr>
        <w:pStyle w:val="ListParagraph"/>
        <w:numPr>
          <w:ilvl w:val="0"/>
          <w:numId w:val="21"/>
        </w:numPr>
        <w:rPr>
          <w:szCs w:val="24"/>
        </w:rPr>
      </w:pPr>
      <w:r w:rsidRPr="002A1FE6">
        <w:rPr>
          <w:szCs w:val="24"/>
        </w:rPr>
        <w:t>The Equity Office tracked training completion and kep</w:t>
      </w:r>
      <w:r w:rsidR="009D33BB">
        <w:rPr>
          <w:szCs w:val="24"/>
        </w:rPr>
        <w:t>t</w:t>
      </w:r>
      <w:r w:rsidRPr="002A1FE6">
        <w:rPr>
          <w:szCs w:val="24"/>
        </w:rPr>
        <w:t xml:space="preserve"> records for compliance purposes</w:t>
      </w:r>
      <w:r>
        <w:rPr>
          <w:szCs w:val="24"/>
        </w:rPr>
        <w:t>;</w:t>
      </w:r>
    </w:p>
    <w:p w:rsidR="0088460A" w:rsidRPr="002A1FE6" w:rsidRDefault="0088460A" w:rsidP="003D622D">
      <w:pPr>
        <w:pStyle w:val="ListParagraph"/>
        <w:numPr>
          <w:ilvl w:val="0"/>
          <w:numId w:val="21"/>
        </w:numPr>
        <w:rPr>
          <w:szCs w:val="24"/>
        </w:rPr>
      </w:pPr>
      <w:r w:rsidRPr="002A1FE6">
        <w:rPr>
          <w:szCs w:val="24"/>
        </w:rPr>
        <w:t>Quarterly Compliance Progress Reports were sent to all departments and units</w:t>
      </w:r>
      <w:r>
        <w:rPr>
          <w:szCs w:val="24"/>
        </w:rPr>
        <w:t>;</w:t>
      </w:r>
    </w:p>
    <w:p w:rsidR="0088460A" w:rsidRPr="002A1FE6" w:rsidRDefault="0088460A" w:rsidP="003D622D">
      <w:pPr>
        <w:pStyle w:val="ListParagraph"/>
        <w:numPr>
          <w:ilvl w:val="0"/>
          <w:numId w:val="21"/>
        </w:numPr>
        <w:rPr>
          <w:szCs w:val="24"/>
        </w:rPr>
      </w:pPr>
      <w:r w:rsidRPr="002A1FE6">
        <w:rPr>
          <w:szCs w:val="24"/>
        </w:rPr>
        <w:t>All employees and volunteers are encouraged and provided opportunities to access all available AODA training. However, for the purposes of tracking compliance of our employees, the Equity Office adheres to the Federal Contractors Program criteria:  Employees are defined as those earning a salary and that are employed by the university for more than 12 weeks and/or work more than 14 hours per week. This excludes Adjunct 1’s, Affiliates, Associates, Co-op Students, Guests, and Casual employees</w:t>
      </w:r>
      <w:r>
        <w:rPr>
          <w:szCs w:val="24"/>
        </w:rPr>
        <w:t>.</w:t>
      </w:r>
    </w:p>
    <w:p w:rsidR="004621B8" w:rsidRPr="00356EDA" w:rsidRDefault="004621B8" w:rsidP="004621B8">
      <w:pPr>
        <w:pStyle w:val="ListParagraph"/>
        <w:ind w:left="1800"/>
        <w:rPr>
          <w:rFonts w:cstheme="minorHAnsi"/>
          <w:szCs w:val="24"/>
        </w:rPr>
      </w:pPr>
    </w:p>
    <w:p w:rsidR="00D92AC9" w:rsidRPr="0088460A" w:rsidRDefault="00356EDA" w:rsidP="003D622D">
      <w:pPr>
        <w:pStyle w:val="ListParagraph"/>
        <w:numPr>
          <w:ilvl w:val="0"/>
          <w:numId w:val="12"/>
        </w:numPr>
        <w:spacing w:after="0"/>
        <w:jc w:val="both"/>
        <w:rPr>
          <w:szCs w:val="24"/>
        </w:rPr>
      </w:pPr>
      <w:r w:rsidRPr="0088460A">
        <w:rPr>
          <w:rFonts w:cstheme="minorHAnsi"/>
          <w:szCs w:val="24"/>
        </w:rPr>
        <w:lastRenderedPageBreak/>
        <w:t xml:space="preserve">The </w:t>
      </w:r>
      <w:r w:rsidR="00855CD7" w:rsidRPr="0088460A">
        <w:rPr>
          <w:rFonts w:cstheme="minorHAnsi"/>
          <w:szCs w:val="24"/>
        </w:rPr>
        <w:t>‘</w:t>
      </w:r>
      <w:r w:rsidRPr="0088460A">
        <w:rPr>
          <w:rFonts w:cstheme="minorHAnsi"/>
          <w:i/>
          <w:szCs w:val="24"/>
        </w:rPr>
        <w:t xml:space="preserve">From Diversity to Inclusion </w:t>
      </w:r>
      <w:r w:rsidR="00855CD7" w:rsidRPr="0088460A">
        <w:rPr>
          <w:rFonts w:cstheme="minorHAnsi"/>
          <w:i/>
          <w:szCs w:val="24"/>
        </w:rPr>
        <w:t>in</w:t>
      </w:r>
      <w:r w:rsidRPr="0088460A">
        <w:rPr>
          <w:rFonts w:cstheme="minorHAnsi"/>
          <w:i/>
          <w:szCs w:val="24"/>
        </w:rPr>
        <w:t xml:space="preserve"> the Workplace</w:t>
      </w:r>
      <w:r w:rsidR="00855CD7" w:rsidRPr="0088460A">
        <w:rPr>
          <w:rFonts w:cstheme="minorHAnsi"/>
          <w:i/>
          <w:szCs w:val="24"/>
        </w:rPr>
        <w:t>’</w:t>
      </w:r>
      <w:r w:rsidRPr="0088460A">
        <w:rPr>
          <w:rFonts w:cstheme="minorHAnsi"/>
          <w:szCs w:val="24"/>
        </w:rPr>
        <w:t xml:space="preserve"> Certificate Program co-developed </w:t>
      </w:r>
      <w:r w:rsidR="009D33BB">
        <w:rPr>
          <w:rFonts w:cstheme="minorHAnsi"/>
          <w:szCs w:val="24"/>
        </w:rPr>
        <w:t>by the Department of</w:t>
      </w:r>
      <w:r w:rsidRPr="0088460A">
        <w:rPr>
          <w:rFonts w:cstheme="minorHAnsi"/>
          <w:szCs w:val="24"/>
        </w:rPr>
        <w:t xml:space="preserve"> Human Resources and the Equity and Human Rights Offices </w:t>
      </w:r>
      <w:r w:rsidR="0088460A">
        <w:rPr>
          <w:rFonts w:cstheme="minorHAnsi"/>
          <w:szCs w:val="24"/>
        </w:rPr>
        <w:t>has been successful</w:t>
      </w:r>
      <w:r w:rsidRPr="0088460A">
        <w:rPr>
          <w:rFonts w:cstheme="minorHAnsi"/>
          <w:szCs w:val="24"/>
        </w:rPr>
        <w:t>. This Program includes courses examining accessibility in the workplace, amongst others.</w:t>
      </w:r>
    </w:p>
    <w:p w:rsidR="009141BA" w:rsidRPr="00DC7794" w:rsidRDefault="00C017DC" w:rsidP="003D622D">
      <w:pPr>
        <w:pStyle w:val="ListParagraph"/>
        <w:numPr>
          <w:ilvl w:val="0"/>
          <w:numId w:val="9"/>
        </w:numPr>
        <w:jc w:val="both"/>
        <w:rPr>
          <w:szCs w:val="24"/>
        </w:rPr>
      </w:pPr>
      <w:r w:rsidRPr="00DC7794">
        <w:rPr>
          <w:szCs w:val="24"/>
        </w:rPr>
        <w:t xml:space="preserve">Established in 2008, The </w:t>
      </w:r>
      <w:hyperlink r:id="rId52" w:history="1">
        <w:r w:rsidR="00DA7008" w:rsidRPr="00DC7794">
          <w:rPr>
            <w:rStyle w:val="Hyperlink"/>
          </w:rPr>
          <w:t>Steve Cutway Accessibility Award</w:t>
        </w:r>
      </w:hyperlink>
      <w:r w:rsidR="00DA7008" w:rsidRPr="00DC7794">
        <w:rPr>
          <w:szCs w:val="24"/>
        </w:rPr>
        <w:t xml:space="preserve"> </w:t>
      </w:r>
      <w:r w:rsidRPr="00DC7794">
        <w:rPr>
          <w:szCs w:val="24"/>
        </w:rPr>
        <w:t xml:space="preserve">formally recognizes the outstanding contributions of faculty, staff and students towards advancing accessibility for persons with disabilities at Queen's University.  </w:t>
      </w:r>
      <w:r w:rsidR="00DC7794" w:rsidRPr="00DC7794">
        <w:rPr>
          <w:szCs w:val="24"/>
        </w:rPr>
        <w:t>During the periods of 2013-2016 the</w:t>
      </w:r>
      <w:r w:rsidRPr="00DC7794">
        <w:rPr>
          <w:szCs w:val="24"/>
        </w:rPr>
        <w:t xml:space="preserve"> Steve Cutway Accessibility Award </w:t>
      </w:r>
      <w:r w:rsidR="00DA7008" w:rsidRPr="00DC7794">
        <w:rPr>
          <w:szCs w:val="24"/>
        </w:rPr>
        <w:t xml:space="preserve">recipient </w:t>
      </w:r>
      <w:r w:rsidR="00DC7794" w:rsidRPr="00DC7794">
        <w:rPr>
          <w:szCs w:val="24"/>
        </w:rPr>
        <w:t>were:</w:t>
      </w:r>
    </w:p>
    <w:p w:rsidR="00DC7794" w:rsidRDefault="00DC7794" w:rsidP="003D622D">
      <w:pPr>
        <w:pStyle w:val="ListParagraph"/>
        <w:numPr>
          <w:ilvl w:val="1"/>
          <w:numId w:val="9"/>
        </w:numPr>
        <w:jc w:val="both"/>
        <w:rPr>
          <w:szCs w:val="24"/>
        </w:rPr>
      </w:pPr>
      <w:r w:rsidRPr="00DC7794">
        <w:rPr>
          <w:szCs w:val="24"/>
        </w:rPr>
        <w:t>2013 - Andrew Ashby</w:t>
      </w:r>
      <w:r>
        <w:rPr>
          <w:szCs w:val="24"/>
        </w:rPr>
        <w:t>, Accessibility Hub Coordinator</w:t>
      </w:r>
      <w:r w:rsidR="00B80574">
        <w:rPr>
          <w:szCs w:val="24"/>
        </w:rPr>
        <w:t xml:space="preserve">, </w:t>
      </w:r>
      <w:r w:rsidR="00B80574" w:rsidRPr="00B80574">
        <w:rPr>
          <w:szCs w:val="24"/>
        </w:rPr>
        <w:t>for his work in coordinating the university’s first “Accessibility Hub,” a central, online resour</w:t>
      </w:r>
      <w:r w:rsidR="00B80574">
        <w:rPr>
          <w:szCs w:val="24"/>
        </w:rPr>
        <w:t>ce for accessibility at Queen’s</w:t>
      </w:r>
      <w:r>
        <w:rPr>
          <w:szCs w:val="24"/>
        </w:rPr>
        <w:t>;</w:t>
      </w:r>
    </w:p>
    <w:p w:rsidR="00DC7794" w:rsidRDefault="00DC7794" w:rsidP="003D622D">
      <w:pPr>
        <w:pStyle w:val="ListParagraph"/>
        <w:numPr>
          <w:ilvl w:val="1"/>
          <w:numId w:val="9"/>
        </w:numPr>
        <w:jc w:val="both"/>
        <w:rPr>
          <w:szCs w:val="24"/>
        </w:rPr>
      </w:pPr>
      <w:r>
        <w:rPr>
          <w:szCs w:val="24"/>
        </w:rPr>
        <w:t xml:space="preserve">2014 - </w:t>
      </w:r>
      <w:r w:rsidR="00B80574" w:rsidRPr="00B80574">
        <w:rPr>
          <w:szCs w:val="24"/>
        </w:rPr>
        <w:t>Access Champions for its efforts to provide accessibility assistance to anyone or any event on campus.</w:t>
      </w:r>
    </w:p>
    <w:p w:rsidR="00B80574" w:rsidRDefault="00B80574" w:rsidP="003D622D">
      <w:pPr>
        <w:pStyle w:val="ListParagraph"/>
        <w:numPr>
          <w:ilvl w:val="1"/>
          <w:numId w:val="9"/>
        </w:numPr>
        <w:jc w:val="both"/>
        <w:rPr>
          <w:szCs w:val="24"/>
        </w:rPr>
      </w:pPr>
      <w:r>
        <w:rPr>
          <w:szCs w:val="24"/>
        </w:rPr>
        <w:t>2015 - J</w:t>
      </w:r>
      <w:r w:rsidRPr="00B80574">
        <w:rPr>
          <w:szCs w:val="24"/>
        </w:rPr>
        <w:t xml:space="preserve">ames </w:t>
      </w:r>
      <w:r>
        <w:rPr>
          <w:szCs w:val="24"/>
        </w:rPr>
        <w:t xml:space="preserve">McNutt who </w:t>
      </w:r>
      <w:r w:rsidRPr="00B80574">
        <w:rPr>
          <w:szCs w:val="24"/>
        </w:rPr>
        <w:t>initiated the "Video Accessibility Audit Project", in association with the Department of Campus Planning and Development, to demonstrate the challenges that face many persons with disabilities while navigating Queen’s University campus.</w:t>
      </w:r>
    </w:p>
    <w:p w:rsidR="0088460A" w:rsidRDefault="00DC0DAC" w:rsidP="0088460A">
      <w:pPr>
        <w:pStyle w:val="Heading1"/>
      </w:pPr>
      <w:bookmarkStart w:id="37" w:name="_Toc327799014"/>
      <w:bookmarkStart w:id="38" w:name="_Toc327799175"/>
      <w:bookmarkStart w:id="39" w:name="_Toc466287431"/>
      <w:r w:rsidRPr="008D5511">
        <w:t>S</w:t>
      </w:r>
      <w:r w:rsidR="0098750C" w:rsidRPr="008D5511">
        <w:t xml:space="preserve">ection </w:t>
      </w:r>
      <w:r w:rsidR="008D5511" w:rsidRPr="008D5511">
        <w:t>3</w:t>
      </w:r>
      <w:r w:rsidR="00595293" w:rsidRPr="008D5511">
        <w:t>:</w:t>
      </w:r>
      <w:bookmarkEnd w:id="37"/>
      <w:bookmarkEnd w:id="38"/>
      <w:r w:rsidR="0088460A" w:rsidRPr="008D5511">
        <w:t xml:space="preserve"> </w:t>
      </w:r>
      <w:r w:rsidR="00DA7008" w:rsidRPr="008D5511">
        <w:t xml:space="preserve">Moving </w:t>
      </w:r>
      <w:r w:rsidR="00B339C7">
        <w:t>Forwards to</w:t>
      </w:r>
      <w:r w:rsidR="00A85062" w:rsidRPr="008D5511">
        <w:t xml:space="preserve"> 2025</w:t>
      </w:r>
      <w:bookmarkEnd w:id="39"/>
    </w:p>
    <w:p w:rsidR="00922C7D" w:rsidRDefault="00922C7D" w:rsidP="0088460A">
      <w:r w:rsidRPr="0088460A">
        <w:t xml:space="preserve">The requirements under the AODA are extensive and will affect all aspects of our operations at </w:t>
      </w:r>
      <w:proofErr w:type="gramStart"/>
      <w:r w:rsidRPr="0088460A">
        <w:t>Queen’s</w:t>
      </w:r>
      <w:proofErr w:type="gramEnd"/>
      <w:r w:rsidRPr="0088460A">
        <w:t xml:space="preserve">. </w:t>
      </w:r>
      <w:r w:rsidR="00807516" w:rsidRPr="0088460A">
        <w:t xml:space="preserve">The aim of the Accessibility Framework is to foster a sense of shared accountability and responsibility for accessibility for persons with disabilities at </w:t>
      </w:r>
      <w:proofErr w:type="gramStart"/>
      <w:r w:rsidR="00807516" w:rsidRPr="0088460A">
        <w:t>Queen’s</w:t>
      </w:r>
      <w:proofErr w:type="gramEnd"/>
      <w:r w:rsidR="00807516" w:rsidRPr="0088460A">
        <w:t xml:space="preserve">. The goal is </w:t>
      </w:r>
      <w:proofErr w:type="gramStart"/>
      <w:r w:rsidR="00807516" w:rsidRPr="0088460A">
        <w:t xml:space="preserve">to </w:t>
      </w:r>
      <w:r w:rsidR="00F744E4" w:rsidRPr="0088460A">
        <w:t>clearly identify</w:t>
      </w:r>
      <w:proofErr w:type="gramEnd"/>
      <w:r w:rsidR="00F744E4" w:rsidRPr="0088460A">
        <w:t xml:space="preserve"> the roles and responsibilities of our leadership, faculty, staff, and students as they relate to the AODA standards</w:t>
      </w:r>
      <w:r w:rsidR="00EF51C4" w:rsidRPr="0088460A">
        <w:t xml:space="preserve"> – Customer Service, Employment, Information and Communications, Transportation, and the </w:t>
      </w:r>
      <w:r w:rsidR="00BF0F8F">
        <w:t>Design of Public Spaces</w:t>
      </w:r>
      <w:r w:rsidR="00EF51C4" w:rsidRPr="0088460A">
        <w:t xml:space="preserve"> - </w:t>
      </w:r>
      <w:r w:rsidR="00F744E4" w:rsidRPr="0088460A">
        <w:t>so that</w:t>
      </w:r>
      <w:r w:rsidR="00807516" w:rsidRPr="0088460A">
        <w:t xml:space="preserve"> accessibility </w:t>
      </w:r>
      <w:r w:rsidR="00F744E4" w:rsidRPr="0088460A">
        <w:t xml:space="preserve">is </w:t>
      </w:r>
      <w:r w:rsidR="00807516" w:rsidRPr="0088460A">
        <w:t>an integral part of our strategic planning and operational processes.</w:t>
      </w:r>
    </w:p>
    <w:p w:rsidR="00A85062" w:rsidRPr="006F6CEE" w:rsidRDefault="00A85062" w:rsidP="00A85062">
      <w:pPr>
        <w:pStyle w:val="Heading2"/>
      </w:pPr>
      <w:bookmarkStart w:id="40" w:name="_Toc448739675"/>
      <w:bookmarkStart w:id="41" w:name="_Toc466287432"/>
      <w:r w:rsidRPr="006F6CEE">
        <w:t>Campus Mobility Project</w:t>
      </w:r>
      <w:bookmarkEnd w:id="40"/>
      <w:bookmarkEnd w:id="41"/>
    </w:p>
    <w:p w:rsidR="00A85062" w:rsidRDefault="00A85062" w:rsidP="00A85062">
      <w:pPr>
        <w:rPr>
          <w:lang w:val="en-US"/>
        </w:rPr>
      </w:pPr>
      <w:r w:rsidRPr="006F6CEE">
        <w:rPr>
          <w:lang w:val="en-US"/>
        </w:rPr>
        <w:t xml:space="preserve">The goal of this project is to create a permanent, year-round </w:t>
      </w:r>
      <w:r w:rsidRPr="006F6CEE">
        <w:rPr>
          <w:b/>
          <w:lang w:val="en-US"/>
        </w:rPr>
        <w:t xml:space="preserve">assistive </w:t>
      </w:r>
      <w:proofErr w:type="gramStart"/>
      <w:r w:rsidRPr="006F6CEE">
        <w:rPr>
          <w:b/>
          <w:lang w:val="en-US"/>
        </w:rPr>
        <w:t>mobility device rental service</w:t>
      </w:r>
      <w:proofErr w:type="gramEnd"/>
      <w:r w:rsidRPr="006F6CEE">
        <w:rPr>
          <w:lang w:val="en-US"/>
        </w:rPr>
        <w:t xml:space="preserve"> on the Queen’s campus. This is in response to requests for </w:t>
      </w:r>
      <w:proofErr w:type="gramStart"/>
      <w:r w:rsidRPr="006F6CEE">
        <w:rPr>
          <w:lang w:val="en-US"/>
        </w:rPr>
        <w:t>Queen’s</w:t>
      </w:r>
      <w:proofErr w:type="gramEnd"/>
      <w:r w:rsidRPr="006F6CEE">
        <w:rPr>
          <w:lang w:val="en-US"/>
        </w:rPr>
        <w:t xml:space="preserve"> to provide wheelchairs and scooters to students, faculty, and staff who have a temporary disability. Funding for equipment </w:t>
      </w:r>
      <w:proofErr w:type="gramStart"/>
      <w:r w:rsidRPr="006F6CEE">
        <w:rPr>
          <w:lang w:val="en-US"/>
        </w:rPr>
        <w:t>has been identified</w:t>
      </w:r>
      <w:proofErr w:type="gramEnd"/>
      <w:r w:rsidRPr="006F6CEE">
        <w:rPr>
          <w:lang w:val="en-US"/>
        </w:rPr>
        <w:t xml:space="preserve"> with storage and service delivery to be finalized.</w:t>
      </w:r>
    </w:p>
    <w:p w:rsidR="00BF0F8F" w:rsidRDefault="00BF0F8F" w:rsidP="00BF0F8F">
      <w:pPr>
        <w:pStyle w:val="Heading2"/>
        <w:rPr>
          <w:rFonts w:eastAsia="Times New Roman"/>
        </w:rPr>
      </w:pPr>
      <w:bookmarkStart w:id="42" w:name="_Toc466287433"/>
      <w:r>
        <w:rPr>
          <w:rFonts w:eastAsia="Times New Roman"/>
        </w:rPr>
        <w:t>Consulting Persons with Disabilities and the Broader Community</w:t>
      </w:r>
      <w:bookmarkEnd w:id="42"/>
    </w:p>
    <w:p w:rsidR="00BF0F8F" w:rsidRDefault="00BF0F8F" w:rsidP="00BF0F8F">
      <w:pPr>
        <w:rPr>
          <w:rFonts w:cstheme="minorHAnsi"/>
          <w:szCs w:val="24"/>
        </w:rPr>
      </w:pPr>
      <w:r>
        <w:rPr>
          <w:rFonts w:cstheme="minorHAnsi"/>
          <w:szCs w:val="24"/>
        </w:rPr>
        <w:t>The Accessibility Café series will continue through 2016-2017 with two per term. The first Café is slated for the end of September 2016.</w:t>
      </w:r>
    </w:p>
    <w:p w:rsidR="00645C57" w:rsidRPr="00645C57" w:rsidRDefault="00645C57" w:rsidP="00645C57">
      <w:pPr>
        <w:pStyle w:val="Heading2"/>
      </w:pPr>
      <w:bookmarkStart w:id="43" w:name="_Toc448739669"/>
      <w:bookmarkStart w:id="44" w:name="_Toc466287434"/>
      <w:r w:rsidRPr="00645C57">
        <w:lastRenderedPageBreak/>
        <w:t>Design of Public Space and the Built Environment</w:t>
      </w:r>
      <w:bookmarkEnd w:id="43"/>
      <w:bookmarkEnd w:id="44"/>
    </w:p>
    <w:p w:rsidR="00645C57" w:rsidRPr="00645C57" w:rsidRDefault="00645C57" w:rsidP="00645C57">
      <w:r w:rsidRPr="00645C57">
        <w:rPr>
          <w:rFonts w:cstheme="minorHAnsi"/>
          <w:color w:val="000000"/>
        </w:rPr>
        <w:t>A 2-year Accessibility Audit of the Un</w:t>
      </w:r>
      <w:r w:rsidR="008D5511">
        <w:rPr>
          <w:rFonts w:cstheme="minorHAnsi"/>
          <w:color w:val="000000"/>
        </w:rPr>
        <w:t>iversity’s built environment</w:t>
      </w:r>
      <w:r w:rsidRPr="00645C57">
        <w:rPr>
          <w:rFonts w:cstheme="minorHAnsi"/>
          <w:color w:val="000000"/>
        </w:rPr>
        <w:t xml:space="preserve"> commenced February 2015 and Phase 2 of audits will occur in 2016. Approximately 6 million square feet of interior and exterior space in academic and administration buildings, libraries, student centres and any other buildings expected to undergo capital upgrades, updates or renovations will be audited.</w:t>
      </w:r>
    </w:p>
    <w:p w:rsidR="00645C57" w:rsidRDefault="00645C57" w:rsidP="00645C57">
      <w:pPr>
        <w:pStyle w:val="Heading3"/>
      </w:pPr>
      <w:bookmarkStart w:id="45" w:name="_Toc466287435"/>
      <w:r w:rsidRPr="00645C57">
        <w:t>Queen’s Facility Accessibility Design Standard (QFADS)</w:t>
      </w:r>
      <w:bookmarkEnd w:id="45"/>
    </w:p>
    <w:p w:rsidR="00645C57" w:rsidRPr="00645C57" w:rsidRDefault="00474A43" w:rsidP="00645C57">
      <w:pPr>
        <w:jc w:val="both"/>
        <w:rPr>
          <w:rFonts w:cstheme="minorHAnsi"/>
          <w:szCs w:val="24"/>
        </w:rPr>
      </w:pPr>
      <w:r w:rsidRPr="00474A43">
        <w:rPr>
          <w:rFonts w:cstheme="minorHAnsi"/>
          <w:color w:val="000000"/>
        </w:rPr>
        <w:t xml:space="preserve">The Alma Mater Society (AMS) provided funds </w:t>
      </w:r>
      <w:r w:rsidR="009D33BB">
        <w:rPr>
          <w:rFonts w:cstheme="minorHAnsi"/>
          <w:color w:val="000000"/>
        </w:rPr>
        <w:t>to allow</w:t>
      </w:r>
      <w:r w:rsidRPr="00474A43">
        <w:rPr>
          <w:rFonts w:cstheme="minorHAnsi"/>
          <w:color w:val="000000"/>
        </w:rPr>
        <w:t xml:space="preserve"> </w:t>
      </w:r>
      <w:r w:rsidR="00645C57" w:rsidRPr="00645C57">
        <w:rPr>
          <w:rFonts w:cstheme="minorHAnsi"/>
          <w:szCs w:val="24"/>
        </w:rPr>
        <w:t xml:space="preserve">Campus Planning and Development </w:t>
      </w:r>
      <w:r>
        <w:rPr>
          <w:rFonts w:cstheme="minorHAnsi"/>
          <w:szCs w:val="24"/>
        </w:rPr>
        <w:t xml:space="preserve">to begin </w:t>
      </w:r>
      <w:r w:rsidR="009D33BB">
        <w:rPr>
          <w:rFonts w:cstheme="minorHAnsi"/>
          <w:szCs w:val="24"/>
        </w:rPr>
        <w:t xml:space="preserve">the </w:t>
      </w:r>
      <w:r>
        <w:rPr>
          <w:rFonts w:cstheme="minorHAnsi"/>
          <w:szCs w:val="24"/>
        </w:rPr>
        <w:t>development of</w:t>
      </w:r>
      <w:r w:rsidR="00645C57" w:rsidRPr="00645C57">
        <w:rPr>
          <w:rFonts w:cstheme="minorHAnsi"/>
          <w:szCs w:val="24"/>
        </w:rPr>
        <w:t xml:space="preserve"> a Queen’s Facility Accessibility Design Standard (QFADS), adapting widely accepted FADS from select Ontario municipalities and universities, to the Queen’s experience.</w:t>
      </w:r>
    </w:p>
    <w:p w:rsidR="00645C57" w:rsidRDefault="00645C57" w:rsidP="00645C57">
      <w:pPr>
        <w:jc w:val="both"/>
        <w:rPr>
          <w:rFonts w:cstheme="minorHAnsi"/>
          <w:szCs w:val="24"/>
        </w:rPr>
      </w:pPr>
      <w:r w:rsidRPr="00645C57">
        <w:rPr>
          <w:rFonts w:cstheme="minorHAnsi"/>
          <w:szCs w:val="24"/>
        </w:rPr>
        <w:t xml:space="preserve">While provincial legislation outlines minimum building standards that public institutions must adhere to, Queen’s supports campus community members living with disabilities, and believes that a Queen’s FADS </w:t>
      </w:r>
      <w:r w:rsidR="000022D9" w:rsidRPr="000022D9">
        <w:rPr>
          <w:rFonts w:cstheme="minorHAnsi"/>
          <w:szCs w:val="24"/>
        </w:rPr>
        <w:t xml:space="preserve">will ensure that new construction and renovation projects will meet or exceed AODA and Ontario Building Code (OBC) regulations. </w:t>
      </w:r>
      <w:r w:rsidRPr="00645C57">
        <w:rPr>
          <w:rFonts w:cstheme="minorHAnsi"/>
          <w:szCs w:val="24"/>
        </w:rPr>
        <w:t xml:space="preserve"> By informing and directing how the built environment at Queen’s will develop, a Queen’s FADS will shape the experience that students, staff, faculty, and visitors will have of Queen’s University for decades to come.</w:t>
      </w:r>
      <w:r w:rsidR="000022D9">
        <w:rPr>
          <w:rFonts w:cstheme="minorHAnsi"/>
          <w:szCs w:val="24"/>
        </w:rPr>
        <w:t xml:space="preserve"> </w:t>
      </w:r>
    </w:p>
    <w:p w:rsidR="005A3597" w:rsidRDefault="00AD3924" w:rsidP="00AD3924">
      <w:pPr>
        <w:pStyle w:val="Heading2"/>
      </w:pPr>
      <w:bookmarkStart w:id="46" w:name="_Toc466287436"/>
      <w:r>
        <w:t>Queen’s Libraries</w:t>
      </w:r>
      <w:bookmarkEnd w:id="46"/>
    </w:p>
    <w:p w:rsidR="00AD3924" w:rsidRPr="007D5B86" w:rsidRDefault="00AD3924" w:rsidP="00AD3924">
      <w:pPr>
        <w:pStyle w:val="ListParagraph"/>
        <w:numPr>
          <w:ilvl w:val="0"/>
          <w:numId w:val="27"/>
        </w:numPr>
        <w:rPr>
          <w:szCs w:val="24"/>
        </w:rPr>
      </w:pPr>
      <w:r w:rsidRPr="007D5B86">
        <w:rPr>
          <w:szCs w:val="24"/>
        </w:rPr>
        <w:t xml:space="preserve">The Library formed the Section #18 Project Group. This Project Group is comprised of individuals representing many different units in the Library as well as the Accessibility Coordinator. </w:t>
      </w:r>
    </w:p>
    <w:p w:rsidR="00AD3924" w:rsidRDefault="00AD3924" w:rsidP="00AD3924">
      <w:pPr>
        <w:pStyle w:val="ListParagraph"/>
        <w:numPr>
          <w:ilvl w:val="0"/>
          <w:numId w:val="27"/>
        </w:numPr>
        <w:rPr>
          <w:szCs w:val="24"/>
        </w:rPr>
      </w:pPr>
      <w:r w:rsidRPr="007D5B86">
        <w:rPr>
          <w:szCs w:val="24"/>
        </w:rPr>
        <w:t xml:space="preserve">The Group has completed much of its mandate including: an environmental scan of current transcription practices (converting course and print materials into an alternate, accessible format) in Ontario University and Colleges; recommending  and changing Library Services for Students with Disabilities to the more inclusive, Library Accessibility Services; creating an online transcription request form, located on the Adaptive Technology Centre website, for students, staff and faculty wanting to request library materials in an alternate format; </w:t>
      </w:r>
    </w:p>
    <w:p w:rsidR="00AD3924" w:rsidRDefault="00AD3924" w:rsidP="00AD3924">
      <w:pPr>
        <w:pStyle w:val="ListParagraph"/>
        <w:numPr>
          <w:ilvl w:val="0"/>
          <w:numId w:val="27"/>
        </w:numPr>
        <w:rPr>
          <w:szCs w:val="24"/>
        </w:rPr>
      </w:pPr>
      <w:r w:rsidRPr="007D5B86">
        <w:rPr>
          <w:szCs w:val="24"/>
        </w:rPr>
        <w:t>Queen’s Library recently received a new, soph</w:t>
      </w:r>
      <w:r>
        <w:rPr>
          <w:szCs w:val="24"/>
        </w:rPr>
        <w:t xml:space="preserve">isticated high-quality scanner </w:t>
      </w:r>
      <w:r w:rsidRPr="007D5B86">
        <w:rPr>
          <w:szCs w:val="24"/>
        </w:rPr>
        <w:t xml:space="preserve">that will improve the quality of scanned items. </w:t>
      </w:r>
    </w:p>
    <w:p w:rsidR="0017461D" w:rsidRDefault="0017461D" w:rsidP="0017461D">
      <w:pPr>
        <w:pStyle w:val="Heading2"/>
      </w:pPr>
      <w:bookmarkStart w:id="47" w:name="_Toc466287437"/>
      <w:r>
        <w:t>Information &amp; Communications – WCAG 2.0 Level AA Compliance (2021)</w:t>
      </w:r>
      <w:bookmarkEnd w:id="47"/>
    </w:p>
    <w:p w:rsidR="0017461D" w:rsidRDefault="0017461D" w:rsidP="0017461D">
      <w:r w:rsidRPr="0017461D">
        <w:t xml:space="preserve">The Information and Communications Working Group </w:t>
      </w:r>
      <w:r>
        <w:t xml:space="preserve">outlined and executed a plan for the University to achieve WCAG 2.0 Level A compliance. The working group </w:t>
      </w:r>
      <w:r w:rsidRPr="0017461D">
        <w:t>will continue to monitor Queen’s websites and departmental comp</w:t>
      </w:r>
      <w:r>
        <w:t>liance efforts every six months to ensure Level AA by 2021.</w:t>
      </w:r>
    </w:p>
    <w:p w:rsidR="0003094F" w:rsidRDefault="0003094F" w:rsidP="00233D5D">
      <w:pPr>
        <w:pStyle w:val="Heading2"/>
      </w:pPr>
      <w:bookmarkStart w:id="48" w:name="_Toc466287438"/>
      <w:r>
        <w:lastRenderedPageBreak/>
        <w:t>Where Next?</w:t>
      </w:r>
      <w:bookmarkEnd w:id="48"/>
    </w:p>
    <w:p w:rsidR="00E655B9" w:rsidRPr="00233D5D" w:rsidRDefault="00233D5D" w:rsidP="0003094F">
      <w:pPr>
        <w:pStyle w:val="Heading3"/>
      </w:pPr>
      <w:bookmarkStart w:id="49" w:name="_Toc466287439"/>
      <w:r>
        <w:t>AODA</w:t>
      </w:r>
      <w:r w:rsidRPr="00233D5D">
        <w:t xml:space="preserve"> Review </w:t>
      </w:r>
      <w:r>
        <w:t>– Recommends Creating</w:t>
      </w:r>
      <w:r w:rsidRPr="00233D5D">
        <w:t xml:space="preserve"> New AODA Standards</w:t>
      </w:r>
      <w:bookmarkEnd w:id="49"/>
    </w:p>
    <w:p w:rsidR="00375875" w:rsidRPr="00375875" w:rsidRDefault="00BC16B7" w:rsidP="00375875">
      <w:pPr>
        <w:jc w:val="both"/>
        <w:rPr>
          <w:rFonts w:cstheme="minorHAnsi"/>
          <w:szCs w:val="24"/>
        </w:rPr>
      </w:pPr>
      <w:r w:rsidRPr="00BC16B7">
        <w:rPr>
          <w:rFonts w:cstheme="minorHAnsi"/>
          <w:szCs w:val="24"/>
        </w:rPr>
        <w:t xml:space="preserve">Regular reviews of the </w:t>
      </w:r>
      <w:r>
        <w:rPr>
          <w:rFonts w:cstheme="minorHAnsi"/>
          <w:szCs w:val="24"/>
        </w:rPr>
        <w:t>AODA</w:t>
      </w:r>
      <w:r w:rsidRPr="00BC16B7">
        <w:rPr>
          <w:rFonts w:cstheme="minorHAnsi"/>
          <w:szCs w:val="24"/>
        </w:rPr>
        <w:t xml:space="preserve"> are required to make sure the legislation is working as intended and to identify where improvements can be made.</w:t>
      </w:r>
      <w:r>
        <w:rPr>
          <w:rFonts w:cstheme="minorHAnsi"/>
          <w:szCs w:val="24"/>
        </w:rPr>
        <w:t xml:space="preserve"> </w:t>
      </w:r>
      <w:r w:rsidR="00375875" w:rsidRPr="00375875">
        <w:rPr>
          <w:rFonts w:cstheme="minorHAnsi"/>
          <w:szCs w:val="24"/>
        </w:rPr>
        <w:t>Mayo Moran, Dean of the Faculty of Law of the University of Toronto, was mandated to lead the scheduled independent review of the Accessibility for Ontarians with Disabilities Act</w:t>
      </w:r>
      <w:r w:rsidR="00D60BE0">
        <w:rPr>
          <w:rFonts w:cstheme="minorHAnsi"/>
          <w:szCs w:val="24"/>
        </w:rPr>
        <w:t xml:space="preserve"> </w:t>
      </w:r>
      <w:r w:rsidR="00375875" w:rsidRPr="00375875">
        <w:rPr>
          <w:rFonts w:cstheme="minorHAnsi"/>
          <w:szCs w:val="24"/>
        </w:rPr>
        <w:t xml:space="preserve">(AODA). </w:t>
      </w:r>
      <w:hyperlink r:id="rId53" w:history="1">
        <w:r w:rsidR="00375875" w:rsidRPr="00375875">
          <w:rPr>
            <w:rStyle w:val="Hyperlink"/>
            <w:rFonts w:cstheme="minorHAnsi"/>
            <w:szCs w:val="24"/>
          </w:rPr>
          <w:t>She tabled her report and recommendations to the Ontario government in November 2014</w:t>
        </w:r>
      </w:hyperlink>
      <w:r w:rsidR="00375875" w:rsidRPr="00375875">
        <w:rPr>
          <w:rFonts w:cstheme="minorHAnsi"/>
          <w:szCs w:val="24"/>
        </w:rPr>
        <w:t>.</w:t>
      </w:r>
    </w:p>
    <w:p w:rsidR="00BC16B7" w:rsidRDefault="00BC16B7" w:rsidP="00BC16B7">
      <w:pPr>
        <w:jc w:val="both"/>
        <w:rPr>
          <w:rFonts w:cstheme="minorHAnsi"/>
          <w:szCs w:val="24"/>
        </w:rPr>
      </w:pPr>
      <w:r w:rsidRPr="00BC16B7">
        <w:rPr>
          <w:rFonts w:cstheme="minorHAnsi"/>
          <w:szCs w:val="24"/>
        </w:rPr>
        <w:t xml:space="preserve">The report identified a need for new standards covering the health care and education sectors. </w:t>
      </w:r>
      <w:r>
        <w:rPr>
          <w:rFonts w:cstheme="minorHAnsi"/>
          <w:szCs w:val="24"/>
        </w:rPr>
        <w:t xml:space="preserve">If new standards </w:t>
      </w:r>
      <w:proofErr w:type="gramStart"/>
      <w:r>
        <w:rPr>
          <w:rFonts w:cstheme="minorHAnsi"/>
          <w:szCs w:val="24"/>
        </w:rPr>
        <w:t>are</w:t>
      </w:r>
      <w:proofErr w:type="gramEnd"/>
      <w:r>
        <w:rPr>
          <w:rFonts w:cstheme="minorHAnsi"/>
          <w:szCs w:val="24"/>
        </w:rPr>
        <w:t xml:space="preserve"> created they would have an impact o</w:t>
      </w:r>
      <w:r w:rsidR="00481D40">
        <w:rPr>
          <w:rFonts w:cstheme="minorHAnsi"/>
          <w:szCs w:val="24"/>
        </w:rPr>
        <w:t>n</w:t>
      </w:r>
      <w:r>
        <w:rPr>
          <w:rFonts w:cstheme="minorHAnsi"/>
          <w:szCs w:val="24"/>
        </w:rPr>
        <w:t xml:space="preserve"> Queen’s:</w:t>
      </w:r>
    </w:p>
    <w:p w:rsidR="00BC16B7" w:rsidRPr="008512FB" w:rsidRDefault="00BC16B7" w:rsidP="008512FB">
      <w:pPr>
        <w:pStyle w:val="ListParagraph"/>
        <w:numPr>
          <w:ilvl w:val="0"/>
          <w:numId w:val="29"/>
        </w:numPr>
        <w:jc w:val="both"/>
        <w:rPr>
          <w:rFonts w:cstheme="minorHAnsi"/>
          <w:szCs w:val="24"/>
        </w:rPr>
      </w:pPr>
      <w:r w:rsidRPr="008512FB">
        <w:rPr>
          <w:rFonts w:cstheme="minorHAnsi"/>
          <w:szCs w:val="24"/>
        </w:rPr>
        <w:t xml:space="preserve">Health Care Standard: would </w:t>
      </w:r>
      <w:proofErr w:type="gramStart"/>
      <w:r w:rsidRPr="008512FB">
        <w:rPr>
          <w:rFonts w:cstheme="minorHAnsi"/>
          <w:szCs w:val="24"/>
        </w:rPr>
        <w:t>impact</w:t>
      </w:r>
      <w:proofErr w:type="gramEnd"/>
      <w:r w:rsidRPr="008512FB">
        <w:rPr>
          <w:rFonts w:cstheme="minorHAnsi"/>
          <w:szCs w:val="24"/>
        </w:rPr>
        <w:t xml:space="preserve"> the School of Medicine on what and how it teaches</w:t>
      </w:r>
      <w:r w:rsidR="008512FB" w:rsidRPr="008512FB">
        <w:rPr>
          <w:rFonts w:cstheme="minorHAnsi"/>
          <w:szCs w:val="24"/>
        </w:rPr>
        <w:t>. Such a standard may include: requiring accessible examination equipment, health information to be provided in alternate formats, and require training for medical practitioners;</w:t>
      </w:r>
    </w:p>
    <w:p w:rsidR="00BC16B7" w:rsidRDefault="00BC16B7" w:rsidP="008512FB">
      <w:pPr>
        <w:pStyle w:val="ListParagraph"/>
        <w:numPr>
          <w:ilvl w:val="0"/>
          <w:numId w:val="29"/>
        </w:numPr>
        <w:jc w:val="both"/>
        <w:rPr>
          <w:rFonts w:cstheme="minorHAnsi"/>
          <w:szCs w:val="24"/>
        </w:rPr>
      </w:pPr>
      <w:r>
        <w:rPr>
          <w:rFonts w:cstheme="minorHAnsi"/>
          <w:szCs w:val="24"/>
        </w:rPr>
        <w:t xml:space="preserve">Education Standard: could require that Learning Management Systems (LMS) </w:t>
      </w:r>
      <w:r w:rsidRPr="00BC16B7">
        <w:rPr>
          <w:rFonts w:cstheme="minorHAnsi"/>
          <w:szCs w:val="24"/>
        </w:rPr>
        <w:t xml:space="preserve">and website extranets </w:t>
      </w:r>
      <w:r>
        <w:rPr>
          <w:rFonts w:cstheme="minorHAnsi"/>
          <w:szCs w:val="24"/>
        </w:rPr>
        <w:t>be within</w:t>
      </w:r>
      <w:r w:rsidRPr="00BC16B7">
        <w:rPr>
          <w:rFonts w:cstheme="minorHAnsi"/>
          <w:szCs w:val="24"/>
        </w:rPr>
        <w:t xml:space="preserve"> the scope of the website accessibility requirements.</w:t>
      </w:r>
    </w:p>
    <w:p w:rsidR="00BA199E" w:rsidRPr="000526E8" w:rsidRDefault="00BA199E" w:rsidP="00BA199E">
      <w:pPr>
        <w:pStyle w:val="Heading3"/>
      </w:pPr>
      <w:bookmarkStart w:id="50" w:name="_Toc466287440"/>
      <w:r w:rsidRPr="000526E8">
        <w:t>Canadians with Disabilities Act</w:t>
      </w:r>
      <w:bookmarkEnd w:id="50"/>
    </w:p>
    <w:p w:rsidR="00BA199E" w:rsidRPr="000526E8" w:rsidRDefault="00BA199E" w:rsidP="00982A18">
      <w:pPr>
        <w:jc w:val="both"/>
        <w:rPr>
          <w:rFonts w:cstheme="minorHAnsi"/>
          <w:szCs w:val="24"/>
        </w:rPr>
      </w:pPr>
      <w:r w:rsidRPr="000526E8">
        <w:rPr>
          <w:rFonts w:cstheme="minorHAnsi"/>
          <w:szCs w:val="24"/>
        </w:rPr>
        <w:t xml:space="preserve">A federal act has been proposed to ensure that Canada becomes fully accessible to people with disabilities, </w:t>
      </w:r>
      <w:r w:rsidRPr="000526E8">
        <w:t xml:space="preserve">effectively implementing the equality </w:t>
      </w:r>
      <w:proofErr w:type="gramStart"/>
      <w:r w:rsidRPr="000526E8">
        <w:t>rights which</w:t>
      </w:r>
      <w:proofErr w:type="gramEnd"/>
      <w:r w:rsidRPr="000526E8">
        <w:t xml:space="preserve"> the Charter of Rights and the Canada Human Rights Act</w:t>
      </w:r>
      <w:r w:rsidR="00982A18" w:rsidRPr="000526E8">
        <w:t xml:space="preserve"> guarantee</w:t>
      </w:r>
      <w:r w:rsidRPr="000526E8">
        <w:t xml:space="preserve">. </w:t>
      </w:r>
      <w:r w:rsidR="00982A18" w:rsidRPr="000526E8">
        <w:rPr>
          <w:rFonts w:cstheme="minorHAnsi"/>
          <w:szCs w:val="24"/>
        </w:rPr>
        <w:t>After</w:t>
      </w:r>
      <w:r w:rsidRPr="000526E8">
        <w:rPr>
          <w:rFonts w:cstheme="minorHAnsi"/>
          <w:szCs w:val="24"/>
        </w:rPr>
        <w:t xml:space="preserve"> the 201</w:t>
      </w:r>
      <w:r w:rsidR="00982A18" w:rsidRPr="000526E8">
        <w:rPr>
          <w:rFonts w:cstheme="minorHAnsi"/>
          <w:szCs w:val="24"/>
        </w:rPr>
        <w:t>5</w:t>
      </w:r>
      <w:r w:rsidRPr="000526E8">
        <w:rPr>
          <w:rFonts w:cstheme="minorHAnsi"/>
          <w:szCs w:val="24"/>
        </w:rPr>
        <w:t xml:space="preserve"> election, Prime Minister Justin Trudeau </w:t>
      </w:r>
      <w:r w:rsidR="00982A18" w:rsidRPr="000526E8">
        <w:rPr>
          <w:rFonts w:cstheme="minorHAnsi"/>
          <w:szCs w:val="24"/>
        </w:rPr>
        <w:t xml:space="preserve">named Carla </w:t>
      </w:r>
      <w:proofErr w:type="spellStart"/>
      <w:r w:rsidR="00982A18" w:rsidRPr="000526E8">
        <w:rPr>
          <w:rFonts w:cstheme="minorHAnsi"/>
          <w:szCs w:val="24"/>
        </w:rPr>
        <w:t>Qualtrough</w:t>
      </w:r>
      <w:proofErr w:type="spellEnd"/>
      <w:r w:rsidR="00982A18" w:rsidRPr="000526E8">
        <w:rPr>
          <w:rFonts w:cstheme="minorHAnsi"/>
          <w:szCs w:val="24"/>
        </w:rPr>
        <w:t xml:space="preserve"> the Minister of Sport and Persons with Disabilities with the </w:t>
      </w:r>
      <w:hyperlink r:id="rId54" w:history="1">
        <w:r w:rsidR="00982A18" w:rsidRPr="000526E8">
          <w:rPr>
            <w:rStyle w:val="Hyperlink"/>
            <w:rFonts w:cstheme="minorHAnsi"/>
            <w:szCs w:val="24"/>
          </w:rPr>
          <w:t>mandate to enact the Canadians with Disabilities Act</w:t>
        </w:r>
      </w:hyperlink>
      <w:r w:rsidR="00982A18" w:rsidRPr="000526E8">
        <w:rPr>
          <w:rFonts w:cstheme="minorHAnsi"/>
          <w:szCs w:val="24"/>
        </w:rPr>
        <w:t>.</w:t>
      </w:r>
    </w:p>
    <w:p w:rsidR="009A7DE9" w:rsidRPr="000526E8" w:rsidRDefault="009A7DE9" w:rsidP="009A7DE9">
      <w:r w:rsidRPr="000526E8">
        <w:t xml:space="preserve">A Canadians with Disabilities Act could possibly </w:t>
      </w:r>
      <w:proofErr w:type="gramStart"/>
      <w:r w:rsidRPr="000526E8">
        <w:t>impact</w:t>
      </w:r>
      <w:proofErr w:type="gramEnd"/>
      <w:r w:rsidRPr="000526E8">
        <w:t xml:space="preserve"> Queen’s by:</w:t>
      </w:r>
    </w:p>
    <w:p w:rsidR="009A7DE9" w:rsidRPr="000526E8" w:rsidRDefault="00033466" w:rsidP="009A7DE9">
      <w:pPr>
        <w:pStyle w:val="ListParagraph"/>
        <w:numPr>
          <w:ilvl w:val="0"/>
          <w:numId w:val="33"/>
        </w:numPr>
      </w:pPr>
      <w:r w:rsidRPr="000526E8">
        <w:t>Ensuring any departments, faculty,</w:t>
      </w:r>
      <w:r w:rsidR="00F617EE" w:rsidRPr="000526E8">
        <w:t xml:space="preserve"> research</w:t>
      </w:r>
      <w:r w:rsidR="00BD239D">
        <w:t>ers who receive federal funds be</w:t>
      </w:r>
      <w:r w:rsidR="00F617EE" w:rsidRPr="000526E8">
        <w:t xml:space="preserve"> compliant to any standards outlined by the Act.</w:t>
      </w:r>
    </w:p>
    <w:p w:rsidR="00F52B3D" w:rsidRDefault="002A5F0A" w:rsidP="00F52B3D">
      <w:pPr>
        <w:pStyle w:val="Heading2"/>
      </w:pPr>
      <w:bookmarkStart w:id="51" w:name="_Toc466287441"/>
      <w:r w:rsidRPr="00AD3924">
        <w:t>Queen’s University</w:t>
      </w:r>
      <w:r w:rsidR="000C1F00">
        <w:t>’s</w:t>
      </w:r>
      <w:r w:rsidRPr="00AD3924">
        <w:t xml:space="preserve"> Comprehensive Strategic Framework for Accessibility</w:t>
      </w:r>
      <w:bookmarkEnd w:id="51"/>
    </w:p>
    <w:p w:rsidR="00086A32" w:rsidRDefault="00222D92" w:rsidP="00086A32">
      <w:pPr>
        <w:spacing w:after="0" w:line="240" w:lineRule="auto"/>
        <w:jc w:val="both"/>
        <w:rPr>
          <w:rFonts w:cstheme="minorHAnsi"/>
          <w:szCs w:val="24"/>
        </w:rPr>
      </w:pPr>
      <w:r w:rsidRPr="00AD3924">
        <w:rPr>
          <w:rFonts w:cstheme="minorHAnsi"/>
          <w:b/>
          <w:szCs w:val="24"/>
        </w:rPr>
        <w:t xml:space="preserve"> </w:t>
      </w:r>
      <w:r w:rsidR="000E6AFB" w:rsidRPr="00AD3924">
        <w:rPr>
          <w:rFonts w:cstheme="minorHAnsi"/>
          <w:szCs w:val="24"/>
        </w:rPr>
        <w:t xml:space="preserve">Accessibility is a priority for this </w:t>
      </w:r>
      <w:proofErr w:type="gramStart"/>
      <w:r w:rsidR="00481D40">
        <w:rPr>
          <w:rFonts w:cstheme="minorHAnsi"/>
          <w:szCs w:val="24"/>
        </w:rPr>
        <w:t>Queen’s</w:t>
      </w:r>
      <w:proofErr w:type="gramEnd"/>
      <w:r w:rsidR="000E6AFB" w:rsidRPr="00AD3924">
        <w:rPr>
          <w:rFonts w:cstheme="minorHAnsi"/>
          <w:szCs w:val="24"/>
        </w:rPr>
        <w:t xml:space="preserve">. </w:t>
      </w:r>
      <w:r w:rsidR="002A5F0A" w:rsidRPr="00AD3924">
        <w:rPr>
          <w:rFonts w:cstheme="minorHAnsi"/>
          <w:szCs w:val="24"/>
        </w:rPr>
        <w:t>Much has been accomplished under the Framework toward ensuring that our services, supports, and spaces are accessible for persons with disabilities.</w:t>
      </w:r>
      <w:r w:rsidRPr="00AD3924">
        <w:rPr>
          <w:rFonts w:cstheme="minorHAnsi"/>
          <w:szCs w:val="24"/>
        </w:rPr>
        <w:t xml:space="preserve"> </w:t>
      </w:r>
      <w:r w:rsidR="000E6AFB" w:rsidRPr="00AD3924">
        <w:rPr>
          <w:rFonts w:cstheme="minorHAnsi"/>
          <w:szCs w:val="24"/>
        </w:rPr>
        <w:t>However, the university acknowledges that there is much still to do in meeting our obligations under the AODA.</w:t>
      </w:r>
    </w:p>
    <w:p w:rsidR="00086A32" w:rsidRPr="00086A32" w:rsidRDefault="00086A32" w:rsidP="00086A32">
      <w:pPr>
        <w:spacing w:after="0" w:line="240" w:lineRule="auto"/>
        <w:jc w:val="both"/>
        <w:rPr>
          <w:rFonts w:cstheme="minorHAnsi"/>
          <w:szCs w:val="24"/>
        </w:rPr>
      </w:pPr>
    </w:p>
    <w:p w:rsidR="00086A32" w:rsidRDefault="00086A32" w:rsidP="00086A32">
      <w:pPr>
        <w:spacing w:after="0" w:line="240" w:lineRule="auto"/>
        <w:jc w:val="both"/>
      </w:pPr>
      <w:r w:rsidRPr="001E160D">
        <w:t>Through 2015, some original working groups were either placed on hiatus (because AODA obligations were met) or collapsed. The remaining working groups continued work towards compliance or competency of the university’s obligations under the AODA</w:t>
      </w:r>
      <w:r>
        <w:t>.</w:t>
      </w:r>
      <w:r w:rsidRPr="001E160D">
        <w:t xml:space="preserve"> </w:t>
      </w:r>
      <w:r>
        <w:t xml:space="preserve">The new phase of the Framework is reflected in </w:t>
      </w:r>
      <w:r w:rsidR="0062784E">
        <w:t>Figure</w:t>
      </w:r>
      <w:r>
        <w:t xml:space="preserve"> 2 on page six (6).</w:t>
      </w:r>
    </w:p>
    <w:p w:rsidR="001652B3" w:rsidRDefault="001652B3" w:rsidP="00086A32">
      <w:pPr>
        <w:pStyle w:val="Heading2"/>
      </w:pPr>
      <w:bookmarkStart w:id="52" w:name="_Toc466287442"/>
      <w:r>
        <w:lastRenderedPageBreak/>
        <w:t>Queen’s Strategic Roadmap</w:t>
      </w:r>
      <w:r w:rsidR="008965DD">
        <w:t xml:space="preserve"> for Achieving Accessibility</w:t>
      </w:r>
      <w:bookmarkEnd w:id="52"/>
    </w:p>
    <w:p w:rsidR="00304D30" w:rsidRPr="00CA4840" w:rsidRDefault="001652B3" w:rsidP="00A72704">
      <w:pPr>
        <w:jc w:val="both"/>
        <w:rPr>
          <w:szCs w:val="24"/>
        </w:rPr>
      </w:pPr>
      <w:r w:rsidRPr="00CA4840">
        <w:rPr>
          <w:szCs w:val="24"/>
        </w:rPr>
        <w:t xml:space="preserve">Organizational change is complex and involves many components:  policies, procedures, practices; people; technology; infrastructure; communications and awareness. Taken together, these </w:t>
      </w:r>
      <w:proofErr w:type="gramStart"/>
      <w:r w:rsidRPr="00CA4840">
        <w:rPr>
          <w:szCs w:val="24"/>
        </w:rPr>
        <w:t>are the levers that</w:t>
      </w:r>
      <w:proofErr w:type="gramEnd"/>
      <w:r w:rsidRPr="00CA4840">
        <w:rPr>
          <w:szCs w:val="24"/>
        </w:rPr>
        <w:t xml:space="preserve"> will bring about change. The Queen’s Strategic Road Map provides an overall view of the approach to and management of organizational change. (See the Queen’s Strategic Roadmap on the following page.)</w:t>
      </w:r>
    </w:p>
    <w:p w:rsidR="00D60C99" w:rsidRDefault="00304D30" w:rsidP="00A72704">
      <w:pPr>
        <w:sectPr w:rsidR="00D60C99" w:rsidSect="00AC5668">
          <w:footerReference w:type="default" r:id="rId55"/>
          <w:pgSz w:w="12240" w:h="15840"/>
          <w:pgMar w:top="1440" w:right="1440" w:bottom="1440" w:left="1440" w:header="708" w:footer="708" w:gutter="0"/>
          <w:pgNumType w:start="1"/>
          <w:cols w:space="708"/>
          <w:docGrid w:linePitch="360"/>
        </w:sectPr>
      </w:pPr>
      <w:r w:rsidRPr="00CA4840">
        <w:rPr>
          <w:szCs w:val="24"/>
        </w:rPr>
        <w:t xml:space="preserve">Queen’s is committed to creating a campus community that is inclusive of all individuals and ensures equal opportunity among its members to achieve success in their academic and employment endeavours. </w:t>
      </w:r>
      <w:proofErr w:type="gramStart"/>
      <w:r w:rsidRPr="00CA4840">
        <w:rPr>
          <w:szCs w:val="24"/>
        </w:rPr>
        <w:t>The university recognizes that successful learning and employment outcomes are the result of a shared responsibility and commitment on the part of students, faculty and staff, and expects that all members of the community will advance and contribute to the ongoing development of an environment that is accessible and inclusive, while actively working to identify, remove and prevent barriers to persons with disabilities.</w:t>
      </w:r>
      <w:proofErr w:type="gramEnd"/>
    </w:p>
    <w:tbl>
      <w:tblPr>
        <w:tblStyle w:val="TableGrid"/>
        <w:tblpPr w:leftFromText="180" w:rightFromText="180" w:horzAnchor="margin" w:tblpXSpec="right" w:tblpY="-810"/>
        <w:tblW w:w="14688" w:type="dxa"/>
        <w:tblLayout w:type="fixed"/>
        <w:tblLook w:val="04A0" w:firstRow="1" w:lastRow="0" w:firstColumn="1" w:lastColumn="0" w:noHBand="0" w:noVBand="1"/>
        <w:tblCaption w:val="Queen's Strategic Road Map"/>
        <w:tblDescription w:val="The Queen's Strategic Road Map provides an overall view of the approach to and management of organizational change as it pertains to accessibility"/>
      </w:tblPr>
      <w:tblGrid>
        <w:gridCol w:w="828"/>
        <w:gridCol w:w="540"/>
        <w:gridCol w:w="1890"/>
        <w:gridCol w:w="1980"/>
        <w:gridCol w:w="2160"/>
        <w:gridCol w:w="1260"/>
        <w:gridCol w:w="990"/>
        <w:gridCol w:w="1914"/>
        <w:gridCol w:w="3126"/>
      </w:tblGrid>
      <w:tr w:rsidR="00D60C99" w:rsidTr="002C7C03">
        <w:trPr>
          <w:tblHeader/>
        </w:trPr>
        <w:tc>
          <w:tcPr>
            <w:tcW w:w="828" w:type="dxa"/>
            <w:vMerge w:val="restart"/>
            <w:tcBorders>
              <w:top w:val="nil"/>
              <w:left w:val="nil"/>
              <w:bottom w:val="nil"/>
              <w:right w:val="nil"/>
            </w:tcBorders>
            <w:textDirection w:val="btLr"/>
          </w:tcPr>
          <w:p w:rsidR="00D60C99" w:rsidRPr="002F7FA5" w:rsidRDefault="00D60C99" w:rsidP="00D60C99">
            <w:pPr>
              <w:ind w:left="113" w:right="113"/>
              <w:rPr>
                <w:b/>
                <w:sz w:val="32"/>
                <w:szCs w:val="32"/>
              </w:rPr>
            </w:pPr>
            <w:r w:rsidRPr="002F7FA5">
              <w:rPr>
                <w:b/>
                <w:sz w:val="32"/>
                <w:szCs w:val="32"/>
              </w:rPr>
              <w:lastRenderedPageBreak/>
              <w:t>TRANSFORMATIONAL STRATEGY</w:t>
            </w:r>
          </w:p>
        </w:tc>
        <w:tc>
          <w:tcPr>
            <w:tcW w:w="540" w:type="dxa"/>
            <w:vMerge w:val="restart"/>
            <w:tcBorders>
              <w:top w:val="nil"/>
              <w:left w:val="nil"/>
              <w:right w:val="nil"/>
            </w:tcBorders>
            <w:textDirection w:val="btLr"/>
          </w:tcPr>
          <w:p w:rsidR="00D60C99" w:rsidRPr="002F7FA5" w:rsidRDefault="00D60C99" w:rsidP="00D60C99">
            <w:pPr>
              <w:ind w:left="113" w:right="113"/>
              <w:rPr>
                <w:b/>
                <w:sz w:val="32"/>
                <w:szCs w:val="32"/>
              </w:rPr>
            </w:pPr>
            <w:r w:rsidRPr="002F7FA5">
              <w:rPr>
                <w:b/>
                <w:sz w:val="32"/>
                <w:szCs w:val="32"/>
              </w:rPr>
              <w:t>STRATEGY OUTCOMES</w:t>
            </w:r>
          </w:p>
        </w:tc>
        <w:tc>
          <w:tcPr>
            <w:tcW w:w="13320" w:type="dxa"/>
            <w:gridSpan w:val="7"/>
            <w:tcBorders>
              <w:top w:val="nil"/>
              <w:left w:val="nil"/>
              <w:right w:val="nil"/>
            </w:tcBorders>
          </w:tcPr>
          <w:p w:rsidR="00D60C99" w:rsidRPr="002F7FA5" w:rsidRDefault="00D60C99" w:rsidP="00D60C99">
            <w:pPr>
              <w:rPr>
                <w:b/>
                <w:sz w:val="40"/>
                <w:szCs w:val="40"/>
              </w:rPr>
            </w:pPr>
            <w:r w:rsidRPr="002F7FA5">
              <w:rPr>
                <w:b/>
                <w:sz w:val="40"/>
                <w:szCs w:val="40"/>
              </w:rPr>
              <w:t>Queen’s Strategic Road  Map*</w:t>
            </w:r>
          </w:p>
        </w:tc>
      </w:tr>
      <w:tr w:rsidR="00D60C99" w:rsidTr="002C7C03">
        <w:trPr>
          <w:tblHeader/>
        </w:trPr>
        <w:tc>
          <w:tcPr>
            <w:tcW w:w="828" w:type="dxa"/>
            <w:vMerge/>
            <w:tcBorders>
              <w:left w:val="nil"/>
              <w:bottom w:val="nil"/>
              <w:right w:val="nil"/>
            </w:tcBorders>
          </w:tcPr>
          <w:p w:rsidR="00D60C99" w:rsidRPr="002F7FA5" w:rsidRDefault="00D60C99" w:rsidP="00D60C99">
            <w:pPr>
              <w:rPr>
                <w:b/>
                <w:sz w:val="32"/>
                <w:szCs w:val="32"/>
              </w:rPr>
            </w:pPr>
          </w:p>
        </w:tc>
        <w:tc>
          <w:tcPr>
            <w:tcW w:w="540" w:type="dxa"/>
            <w:vMerge/>
            <w:tcBorders>
              <w:left w:val="nil"/>
            </w:tcBorders>
          </w:tcPr>
          <w:p w:rsidR="00D60C99" w:rsidRPr="002F7FA5" w:rsidRDefault="00D60C99" w:rsidP="00D60C99">
            <w:pPr>
              <w:rPr>
                <w:b/>
                <w:sz w:val="32"/>
                <w:szCs w:val="32"/>
              </w:rPr>
            </w:pPr>
          </w:p>
        </w:tc>
        <w:tc>
          <w:tcPr>
            <w:tcW w:w="1890" w:type="dxa"/>
            <w:shd w:val="clear" w:color="auto" w:fill="4F81BD" w:themeFill="accent1"/>
          </w:tcPr>
          <w:p w:rsidR="00D60C99" w:rsidRPr="002F7FA5" w:rsidRDefault="00D60C99" w:rsidP="00D60C99">
            <w:pPr>
              <w:rPr>
                <w:b/>
                <w:sz w:val="32"/>
                <w:szCs w:val="32"/>
              </w:rPr>
            </w:pPr>
            <w:r w:rsidRPr="002F7FA5">
              <w:rPr>
                <w:b/>
                <w:sz w:val="32"/>
                <w:szCs w:val="32"/>
              </w:rPr>
              <w:t>Vision</w:t>
            </w:r>
          </w:p>
        </w:tc>
        <w:tc>
          <w:tcPr>
            <w:tcW w:w="11430" w:type="dxa"/>
            <w:gridSpan w:val="6"/>
            <w:shd w:val="clear" w:color="auto" w:fill="4F81BD" w:themeFill="accent1"/>
          </w:tcPr>
          <w:p w:rsidR="00D60C99" w:rsidRPr="00510098" w:rsidRDefault="00D60C99" w:rsidP="00D60C99">
            <w:pPr>
              <w:rPr>
                <w:sz w:val="28"/>
                <w:szCs w:val="28"/>
              </w:rPr>
            </w:pPr>
            <w:r w:rsidRPr="00510098">
              <w:rPr>
                <w:sz w:val="28"/>
                <w:szCs w:val="28"/>
              </w:rPr>
              <w:t>An Accessible Queen’s University</w:t>
            </w:r>
          </w:p>
        </w:tc>
      </w:tr>
      <w:tr w:rsidR="00D60C99" w:rsidTr="002C7C03">
        <w:trPr>
          <w:tblHeader/>
        </w:trPr>
        <w:tc>
          <w:tcPr>
            <w:tcW w:w="828" w:type="dxa"/>
            <w:vMerge/>
            <w:tcBorders>
              <w:left w:val="nil"/>
              <w:bottom w:val="nil"/>
              <w:right w:val="nil"/>
            </w:tcBorders>
          </w:tcPr>
          <w:p w:rsidR="00D60C99" w:rsidRPr="002F7FA5" w:rsidRDefault="00D60C99" w:rsidP="00D60C99">
            <w:pPr>
              <w:rPr>
                <w:b/>
                <w:sz w:val="32"/>
                <w:szCs w:val="32"/>
              </w:rPr>
            </w:pPr>
          </w:p>
        </w:tc>
        <w:tc>
          <w:tcPr>
            <w:tcW w:w="540" w:type="dxa"/>
            <w:vMerge/>
            <w:tcBorders>
              <w:left w:val="nil"/>
              <w:bottom w:val="nil"/>
            </w:tcBorders>
          </w:tcPr>
          <w:p w:rsidR="00D60C99" w:rsidRPr="002F7FA5" w:rsidRDefault="00D60C99" w:rsidP="00D60C99">
            <w:pPr>
              <w:rPr>
                <w:b/>
                <w:sz w:val="32"/>
                <w:szCs w:val="32"/>
              </w:rPr>
            </w:pPr>
          </w:p>
        </w:tc>
        <w:tc>
          <w:tcPr>
            <w:tcW w:w="1890" w:type="dxa"/>
            <w:shd w:val="clear" w:color="auto" w:fill="95B3D7" w:themeFill="accent1" w:themeFillTint="99"/>
          </w:tcPr>
          <w:p w:rsidR="00D60C99" w:rsidRPr="002F7FA5" w:rsidRDefault="00D60C99" w:rsidP="00D60C99">
            <w:pPr>
              <w:rPr>
                <w:b/>
                <w:sz w:val="32"/>
                <w:szCs w:val="32"/>
              </w:rPr>
            </w:pPr>
            <w:r w:rsidRPr="002F7FA5">
              <w:rPr>
                <w:b/>
                <w:sz w:val="32"/>
                <w:szCs w:val="32"/>
              </w:rPr>
              <w:t>Key Outcomes</w:t>
            </w:r>
          </w:p>
        </w:tc>
        <w:tc>
          <w:tcPr>
            <w:tcW w:w="5400" w:type="dxa"/>
            <w:gridSpan w:val="3"/>
            <w:tcBorders>
              <w:right w:val="nil"/>
            </w:tcBorders>
            <w:shd w:val="clear" w:color="auto" w:fill="95B3D7" w:themeFill="accent1" w:themeFillTint="99"/>
          </w:tcPr>
          <w:p w:rsidR="00D60C99" w:rsidRPr="003B2770" w:rsidRDefault="00D60C99" w:rsidP="003D622D">
            <w:pPr>
              <w:pStyle w:val="ListParagraph"/>
              <w:numPr>
                <w:ilvl w:val="0"/>
                <w:numId w:val="13"/>
              </w:numPr>
              <w:rPr>
                <w:sz w:val="22"/>
              </w:rPr>
            </w:pPr>
            <w:r w:rsidRPr="003B2770">
              <w:rPr>
                <w:rFonts w:cstheme="minorHAnsi"/>
                <w:sz w:val="22"/>
              </w:rPr>
              <w:t xml:space="preserve">Meaningful consultation with persons with disabilities in formulating solutions and implementing decisions </w:t>
            </w:r>
          </w:p>
          <w:p w:rsidR="00D60C99" w:rsidRPr="003B2770" w:rsidRDefault="00D60C99" w:rsidP="003D622D">
            <w:pPr>
              <w:pStyle w:val="ListParagraph"/>
              <w:numPr>
                <w:ilvl w:val="0"/>
                <w:numId w:val="13"/>
              </w:numPr>
              <w:rPr>
                <w:sz w:val="22"/>
              </w:rPr>
            </w:pPr>
            <w:r w:rsidRPr="003B2770">
              <w:rPr>
                <w:rFonts w:cstheme="minorHAnsi"/>
                <w:sz w:val="22"/>
              </w:rPr>
              <w:t>Persons with disabilities who are Queen’s</w:t>
            </w:r>
            <w:r w:rsidR="00B11DDC">
              <w:rPr>
                <w:rFonts w:cstheme="minorHAnsi"/>
                <w:sz w:val="22"/>
              </w:rPr>
              <w:t xml:space="preserve"> students or </w:t>
            </w:r>
            <w:r w:rsidRPr="003B2770">
              <w:rPr>
                <w:rFonts w:cstheme="minorHAnsi"/>
                <w:sz w:val="22"/>
              </w:rPr>
              <w:t>customers</w:t>
            </w:r>
            <w:r w:rsidR="00B11DDC">
              <w:rPr>
                <w:rFonts w:cstheme="minorHAnsi"/>
                <w:sz w:val="22"/>
              </w:rPr>
              <w:t>,</w:t>
            </w:r>
            <w:r w:rsidRPr="003B2770">
              <w:rPr>
                <w:rFonts w:cstheme="minorHAnsi"/>
                <w:sz w:val="22"/>
              </w:rPr>
              <w:t xml:space="preserve"> receive quality goods and services in a timely manner</w:t>
            </w:r>
          </w:p>
          <w:p w:rsidR="00D60C99" w:rsidRPr="003B2770" w:rsidRDefault="00D60C99" w:rsidP="003D622D">
            <w:pPr>
              <w:pStyle w:val="ListParagraph"/>
              <w:numPr>
                <w:ilvl w:val="0"/>
                <w:numId w:val="13"/>
              </w:numPr>
              <w:rPr>
                <w:sz w:val="22"/>
              </w:rPr>
            </w:pPr>
            <w:r w:rsidRPr="003B2770">
              <w:rPr>
                <w:rFonts w:cstheme="minorHAnsi"/>
                <w:sz w:val="22"/>
              </w:rPr>
              <w:t>Persons with disabilities who are Queen’s employees participate fully and meaningfully in services and employment</w:t>
            </w:r>
          </w:p>
          <w:p w:rsidR="00D60C99" w:rsidRPr="003B2770" w:rsidRDefault="00D60C99" w:rsidP="00D60C99">
            <w:pPr>
              <w:rPr>
                <w:sz w:val="22"/>
              </w:rPr>
            </w:pPr>
          </w:p>
        </w:tc>
        <w:tc>
          <w:tcPr>
            <w:tcW w:w="6030" w:type="dxa"/>
            <w:gridSpan w:val="3"/>
            <w:tcBorders>
              <w:left w:val="nil"/>
            </w:tcBorders>
            <w:shd w:val="clear" w:color="auto" w:fill="95B3D7" w:themeFill="accent1" w:themeFillTint="99"/>
          </w:tcPr>
          <w:p w:rsidR="00D60C99" w:rsidRPr="003B2770" w:rsidRDefault="00D60C99" w:rsidP="003D622D">
            <w:pPr>
              <w:pStyle w:val="ListParagraph"/>
              <w:numPr>
                <w:ilvl w:val="0"/>
                <w:numId w:val="13"/>
              </w:numPr>
              <w:rPr>
                <w:sz w:val="22"/>
              </w:rPr>
            </w:pPr>
            <w:r w:rsidRPr="003B2770">
              <w:rPr>
                <w:sz w:val="22"/>
              </w:rPr>
              <w:t>Information and communications are available in accessible formats to all Queen’s employees and customers</w:t>
            </w:r>
          </w:p>
          <w:p w:rsidR="00D60C99" w:rsidRPr="003B2770" w:rsidRDefault="00D60C99" w:rsidP="003D622D">
            <w:pPr>
              <w:pStyle w:val="ListParagraph"/>
              <w:numPr>
                <w:ilvl w:val="0"/>
                <w:numId w:val="13"/>
              </w:numPr>
              <w:rPr>
                <w:sz w:val="22"/>
              </w:rPr>
            </w:pPr>
            <w:r w:rsidRPr="003B2770">
              <w:rPr>
                <w:sz w:val="22"/>
              </w:rPr>
              <w:t>Queen’s employees are able to identify barriers to accessibility and actively seek solutions to prevent or remove them on a continuing basis throughout the organization</w:t>
            </w:r>
          </w:p>
          <w:p w:rsidR="00D60C99" w:rsidRPr="003B2770" w:rsidRDefault="00D60C99" w:rsidP="003D622D">
            <w:pPr>
              <w:pStyle w:val="ListParagraph"/>
              <w:numPr>
                <w:ilvl w:val="0"/>
                <w:numId w:val="13"/>
              </w:numPr>
              <w:rPr>
                <w:sz w:val="22"/>
              </w:rPr>
            </w:pPr>
            <w:r w:rsidRPr="003B2770">
              <w:rPr>
                <w:sz w:val="22"/>
              </w:rPr>
              <w:t>There is greater accessibility into, out of, and around Queen’s facilities and public spaces</w:t>
            </w:r>
          </w:p>
        </w:tc>
      </w:tr>
      <w:tr w:rsidR="00D60C99" w:rsidTr="002C7C03">
        <w:trPr>
          <w:tblHeader/>
        </w:trPr>
        <w:tc>
          <w:tcPr>
            <w:tcW w:w="828" w:type="dxa"/>
            <w:vMerge/>
            <w:tcBorders>
              <w:left w:val="nil"/>
              <w:bottom w:val="nil"/>
              <w:right w:val="nil"/>
            </w:tcBorders>
          </w:tcPr>
          <w:p w:rsidR="00D60C99" w:rsidRPr="002F7FA5" w:rsidRDefault="00D60C99" w:rsidP="00D60C99">
            <w:pPr>
              <w:rPr>
                <w:b/>
                <w:sz w:val="32"/>
                <w:szCs w:val="32"/>
              </w:rPr>
            </w:pPr>
          </w:p>
        </w:tc>
        <w:tc>
          <w:tcPr>
            <w:tcW w:w="540" w:type="dxa"/>
            <w:vMerge w:val="restart"/>
            <w:tcBorders>
              <w:top w:val="nil"/>
              <w:left w:val="nil"/>
              <w:bottom w:val="nil"/>
            </w:tcBorders>
            <w:textDirection w:val="btLr"/>
          </w:tcPr>
          <w:p w:rsidR="00D60C99" w:rsidRPr="002F7FA5" w:rsidRDefault="00D60C99" w:rsidP="00D60C99">
            <w:pPr>
              <w:ind w:left="113" w:right="113"/>
              <w:rPr>
                <w:b/>
                <w:sz w:val="32"/>
                <w:szCs w:val="32"/>
              </w:rPr>
            </w:pPr>
            <w:r w:rsidRPr="002F7FA5">
              <w:rPr>
                <w:b/>
                <w:sz w:val="32"/>
                <w:szCs w:val="32"/>
              </w:rPr>
              <w:t>IMPLEMENTATION</w:t>
            </w:r>
          </w:p>
        </w:tc>
        <w:tc>
          <w:tcPr>
            <w:tcW w:w="1890" w:type="dxa"/>
            <w:shd w:val="clear" w:color="auto" w:fill="00B050"/>
          </w:tcPr>
          <w:p w:rsidR="00D60C99" w:rsidRPr="002F7FA5" w:rsidRDefault="00D60C99" w:rsidP="00D60C99">
            <w:pPr>
              <w:rPr>
                <w:b/>
                <w:sz w:val="32"/>
                <w:szCs w:val="32"/>
              </w:rPr>
            </w:pPr>
            <w:r w:rsidRPr="002F7FA5">
              <w:rPr>
                <w:b/>
                <w:sz w:val="32"/>
                <w:szCs w:val="32"/>
              </w:rPr>
              <w:t>Levers</w:t>
            </w:r>
          </w:p>
        </w:tc>
        <w:tc>
          <w:tcPr>
            <w:tcW w:w="1980" w:type="dxa"/>
            <w:shd w:val="clear" w:color="auto" w:fill="00B050"/>
          </w:tcPr>
          <w:p w:rsidR="00D60C99" w:rsidRPr="00650ADD" w:rsidRDefault="00D60C99" w:rsidP="00D60C99">
            <w:pPr>
              <w:rPr>
                <w:b/>
                <w:szCs w:val="24"/>
              </w:rPr>
            </w:pPr>
            <w:r w:rsidRPr="00650ADD">
              <w:rPr>
                <w:b/>
                <w:szCs w:val="24"/>
              </w:rPr>
              <w:t>Policies, Procedures, Practices</w:t>
            </w:r>
          </w:p>
        </w:tc>
        <w:tc>
          <w:tcPr>
            <w:tcW w:w="2160" w:type="dxa"/>
            <w:shd w:val="clear" w:color="auto" w:fill="00B050"/>
          </w:tcPr>
          <w:p w:rsidR="00D60C99" w:rsidRPr="00650ADD" w:rsidRDefault="00D60C99" w:rsidP="00D60C99">
            <w:pPr>
              <w:rPr>
                <w:b/>
                <w:szCs w:val="24"/>
              </w:rPr>
            </w:pPr>
            <w:r w:rsidRPr="00650ADD">
              <w:rPr>
                <w:b/>
                <w:szCs w:val="24"/>
              </w:rPr>
              <w:t>People</w:t>
            </w:r>
          </w:p>
        </w:tc>
        <w:tc>
          <w:tcPr>
            <w:tcW w:w="2250" w:type="dxa"/>
            <w:gridSpan w:val="2"/>
            <w:shd w:val="clear" w:color="auto" w:fill="00B050"/>
          </w:tcPr>
          <w:p w:rsidR="00D60C99" w:rsidRPr="00650ADD" w:rsidRDefault="00D60C99" w:rsidP="00D60C99">
            <w:pPr>
              <w:rPr>
                <w:b/>
                <w:szCs w:val="24"/>
              </w:rPr>
            </w:pPr>
            <w:r w:rsidRPr="00650ADD">
              <w:rPr>
                <w:b/>
                <w:szCs w:val="24"/>
              </w:rPr>
              <w:t>Communications and Awareness</w:t>
            </w:r>
          </w:p>
        </w:tc>
        <w:tc>
          <w:tcPr>
            <w:tcW w:w="1914" w:type="dxa"/>
            <w:shd w:val="clear" w:color="auto" w:fill="00B050"/>
          </w:tcPr>
          <w:p w:rsidR="00D60C99" w:rsidRPr="00650ADD" w:rsidRDefault="00D60C99" w:rsidP="00D60C99">
            <w:pPr>
              <w:rPr>
                <w:b/>
                <w:szCs w:val="24"/>
              </w:rPr>
            </w:pPr>
            <w:r w:rsidRPr="00650ADD">
              <w:rPr>
                <w:b/>
                <w:szCs w:val="24"/>
              </w:rPr>
              <w:t>Technology</w:t>
            </w:r>
          </w:p>
        </w:tc>
        <w:tc>
          <w:tcPr>
            <w:tcW w:w="3126" w:type="dxa"/>
            <w:shd w:val="clear" w:color="auto" w:fill="00B050"/>
          </w:tcPr>
          <w:p w:rsidR="00D60C99" w:rsidRPr="00650ADD" w:rsidRDefault="00D60C99" w:rsidP="00D60C99">
            <w:pPr>
              <w:rPr>
                <w:b/>
                <w:szCs w:val="24"/>
              </w:rPr>
            </w:pPr>
            <w:r w:rsidRPr="00650ADD">
              <w:rPr>
                <w:b/>
                <w:szCs w:val="24"/>
              </w:rPr>
              <w:t>Infrastructure</w:t>
            </w:r>
          </w:p>
        </w:tc>
      </w:tr>
      <w:tr w:rsidR="00D60C99" w:rsidTr="002C7C03">
        <w:trPr>
          <w:tblHeader/>
        </w:trPr>
        <w:tc>
          <w:tcPr>
            <w:tcW w:w="828" w:type="dxa"/>
            <w:vMerge/>
            <w:tcBorders>
              <w:left w:val="nil"/>
              <w:bottom w:val="nil"/>
              <w:right w:val="nil"/>
            </w:tcBorders>
          </w:tcPr>
          <w:p w:rsidR="00D60C99" w:rsidRDefault="00D60C99" w:rsidP="00D60C99"/>
        </w:tc>
        <w:tc>
          <w:tcPr>
            <w:tcW w:w="540" w:type="dxa"/>
            <w:vMerge/>
            <w:tcBorders>
              <w:left w:val="nil"/>
              <w:bottom w:val="nil"/>
            </w:tcBorders>
          </w:tcPr>
          <w:p w:rsidR="00D60C99" w:rsidRDefault="00D60C99" w:rsidP="00D60C99"/>
        </w:tc>
        <w:tc>
          <w:tcPr>
            <w:tcW w:w="1890" w:type="dxa"/>
            <w:shd w:val="clear" w:color="auto" w:fill="92D050"/>
          </w:tcPr>
          <w:p w:rsidR="00D60C99" w:rsidRPr="002F7FA5" w:rsidRDefault="00D60C99" w:rsidP="00D60C99">
            <w:pPr>
              <w:rPr>
                <w:b/>
                <w:sz w:val="32"/>
                <w:szCs w:val="32"/>
              </w:rPr>
            </w:pPr>
            <w:r w:rsidRPr="002F7FA5">
              <w:rPr>
                <w:b/>
                <w:sz w:val="32"/>
                <w:szCs w:val="32"/>
              </w:rPr>
              <w:t>Changes</w:t>
            </w:r>
          </w:p>
        </w:tc>
        <w:tc>
          <w:tcPr>
            <w:tcW w:w="1980" w:type="dxa"/>
            <w:shd w:val="clear" w:color="auto" w:fill="92D050"/>
          </w:tcPr>
          <w:p w:rsidR="00D60C99" w:rsidRPr="003B2770" w:rsidRDefault="00D60C99" w:rsidP="00D60C99">
            <w:pPr>
              <w:rPr>
                <w:sz w:val="22"/>
              </w:rPr>
            </w:pPr>
            <w:r w:rsidRPr="003B2770">
              <w:rPr>
                <w:sz w:val="22"/>
              </w:rPr>
              <w:t>New/revised directives and policies will reinforce accessibility considerations</w:t>
            </w:r>
          </w:p>
          <w:p w:rsidR="00D60C99" w:rsidRPr="003B2770" w:rsidRDefault="00D60C99" w:rsidP="00D60C99">
            <w:pPr>
              <w:rPr>
                <w:sz w:val="22"/>
              </w:rPr>
            </w:pPr>
          </w:p>
          <w:p w:rsidR="00D60C99" w:rsidRPr="003B2770" w:rsidRDefault="00D60C99" w:rsidP="00D60C99">
            <w:pPr>
              <w:rPr>
                <w:sz w:val="22"/>
              </w:rPr>
            </w:pPr>
            <w:r w:rsidRPr="003B2770">
              <w:rPr>
                <w:sz w:val="22"/>
              </w:rPr>
              <w:t>New and existing tools and guidelines will embed accessibility criteria into day-to-day practices</w:t>
            </w:r>
          </w:p>
          <w:p w:rsidR="00D60C99" w:rsidRPr="003B2770" w:rsidRDefault="00D60C99" w:rsidP="00D60C99">
            <w:pPr>
              <w:rPr>
                <w:sz w:val="22"/>
              </w:rPr>
            </w:pPr>
          </w:p>
        </w:tc>
        <w:tc>
          <w:tcPr>
            <w:tcW w:w="2160" w:type="dxa"/>
            <w:shd w:val="clear" w:color="auto" w:fill="92D050"/>
          </w:tcPr>
          <w:p w:rsidR="00D60C99" w:rsidRPr="003B2770" w:rsidRDefault="00D60C99" w:rsidP="00D60C99">
            <w:pPr>
              <w:rPr>
                <w:sz w:val="22"/>
              </w:rPr>
            </w:pPr>
            <w:r w:rsidRPr="003B2770">
              <w:rPr>
                <w:sz w:val="22"/>
              </w:rPr>
              <w:t>Staff, Faculty, Student Training</w:t>
            </w:r>
          </w:p>
          <w:p w:rsidR="00D60C99" w:rsidRPr="003B2770" w:rsidRDefault="00D60C99" w:rsidP="00D60C99">
            <w:pPr>
              <w:rPr>
                <w:sz w:val="22"/>
              </w:rPr>
            </w:pPr>
          </w:p>
          <w:p w:rsidR="00D60C99" w:rsidRPr="003B2770" w:rsidRDefault="00D60C99" w:rsidP="00D60C99">
            <w:pPr>
              <w:rPr>
                <w:sz w:val="22"/>
              </w:rPr>
            </w:pPr>
            <w:r w:rsidRPr="003B2770">
              <w:rPr>
                <w:sz w:val="22"/>
              </w:rPr>
              <w:t>Accessible human resources practices</w:t>
            </w:r>
          </w:p>
          <w:p w:rsidR="00D60C99" w:rsidRPr="003B2770" w:rsidRDefault="00D60C99" w:rsidP="00D60C99">
            <w:pPr>
              <w:rPr>
                <w:sz w:val="22"/>
              </w:rPr>
            </w:pPr>
          </w:p>
          <w:p w:rsidR="00D60C99" w:rsidRPr="003B2770" w:rsidRDefault="00D60C99" w:rsidP="00D60C99">
            <w:pPr>
              <w:rPr>
                <w:sz w:val="22"/>
              </w:rPr>
            </w:pPr>
            <w:r w:rsidRPr="003B2770">
              <w:rPr>
                <w:sz w:val="22"/>
              </w:rPr>
              <w:t>Improving employment accommodation practices</w:t>
            </w:r>
          </w:p>
        </w:tc>
        <w:tc>
          <w:tcPr>
            <w:tcW w:w="2250" w:type="dxa"/>
            <w:gridSpan w:val="2"/>
            <w:shd w:val="clear" w:color="auto" w:fill="92D050"/>
          </w:tcPr>
          <w:p w:rsidR="00D60C99" w:rsidRPr="003B2770" w:rsidRDefault="00D60C99" w:rsidP="00D60C99">
            <w:pPr>
              <w:rPr>
                <w:sz w:val="22"/>
              </w:rPr>
            </w:pPr>
            <w:r w:rsidRPr="003B2770">
              <w:rPr>
                <w:sz w:val="22"/>
              </w:rPr>
              <w:t xml:space="preserve">Accessibility information is widely available through </w:t>
            </w:r>
            <w:r w:rsidR="00EE188F" w:rsidRPr="003B2770">
              <w:rPr>
                <w:sz w:val="22"/>
              </w:rPr>
              <w:t>communications and</w:t>
            </w:r>
            <w:r w:rsidRPr="003B2770">
              <w:rPr>
                <w:sz w:val="22"/>
              </w:rPr>
              <w:t xml:space="preserve"> events</w:t>
            </w:r>
          </w:p>
          <w:p w:rsidR="00D60C99" w:rsidRPr="003B2770" w:rsidRDefault="00D60C99" w:rsidP="00D60C99">
            <w:pPr>
              <w:rPr>
                <w:sz w:val="22"/>
              </w:rPr>
            </w:pPr>
          </w:p>
          <w:p w:rsidR="00D60C99" w:rsidRPr="003B2770" w:rsidRDefault="00D60C99" w:rsidP="00D60C99">
            <w:pPr>
              <w:rPr>
                <w:sz w:val="22"/>
              </w:rPr>
            </w:pPr>
            <w:r w:rsidRPr="003B2770">
              <w:rPr>
                <w:sz w:val="22"/>
              </w:rPr>
              <w:t>Ongoing stakeholder outreach and consultations with persons with disabilities</w:t>
            </w:r>
          </w:p>
          <w:p w:rsidR="00D60C99" w:rsidRPr="003B2770" w:rsidRDefault="00D60C99" w:rsidP="00D60C99">
            <w:pPr>
              <w:rPr>
                <w:sz w:val="22"/>
              </w:rPr>
            </w:pPr>
          </w:p>
          <w:p w:rsidR="00D60C99" w:rsidRPr="003B2770" w:rsidRDefault="00D60C99" w:rsidP="00D60C99">
            <w:pPr>
              <w:rPr>
                <w:sz w:val="22"/>
              </w:rPr>
            </w:pPr>
            <w:r w:rsidRPr="003B2770">
              <w:rPr>
                <w:sz w:val="22"/>
              </w:rPr>
              <w:t>Accessible feedback mechanisms are in place</w:t>
            </w:r>
          </w:p>
        </w:tc>
        <w:tc>
          <w:tcPr>
            <w:tcW w:w="1914" w:type="dxa"/>
            <w:shd w:val="clear" w:color="auto" w:fill="92D050"/>
          </w:tcPr>
          <w:p w:rsidR="00D60C99" w:rsidRPr="003B2770" w:rsidRDefault="00D60C99" w:rsidP="00D60C99">
            <w:pPr>
              <w:rPr>
                <w:sz w:val="22"/>
              </w:rPr>
            </w:pPr>
            <w:r w:rsidRPr="003B2770">
              <w:rPr>
                <w:sz w:val="22"/>
              </w:rPr>
              <w:t>Accessible internet sites</w:t>
            </w:r>
          </w:p>
          <w:p w:rsidR="00D60C99" w:rsidRPr="003B2770" w:rsidRDefault="00D60C99" w:rsidP="00D60C99">
            <w:pPr>
              <w:rPr>
                <w:sz w:val="22"/>
              </w:rPr>
            </w:pPr>
          </w:p>
          <w:p w:rsidR="00D60C99" w:rsidRPr="003B2770" w:rsidRDefault="00D60C99" w:rsidP="00D60C99">
            <w:pPr>
              <w:rPr>
                <w:sz w:val="22"/>
              </w:rPr>
            </w:pPr>
            <w:r w:rsidRPr="003B2770">
              <w:rPr>
                <w:sz w:val="22"/>
              </w:rPr>
              <w:t>Accessibility features are built into new kiosks</w:t>
            </w:r>
          </w:p>
          <w:p w:rsidR="00D60C99" w:rsidRPr="003B2770" w:rsidRDefault="00D60C99" w:rsidP="00D60C99">
            <w:pPr>
              <w:rPr>
                <w:sz w:val="22"/>
              </w:rPr>
            </w:pPr>
          </w:p>
          <w:p w:rsidR="00D60C99" w:rsidRPr="003B2770" w:rsidRDefault="00D60C99" w:rsidP="00D60C99">
            <w:pPr>
              <w:rPr>
                <w:sz w:val="22"/>
              </w:rPr>
            </w:pPr>
            <w:r w:rsidRPr="003B2770">
              <w:rPr>
                <w:sz w:val="22"/>
              </w:rPr>
              <w:t>Materials available in accessible formats on request</w:t>
            </w:r>
          </w:p>
        </w:tc>
        <w:tc>
          <w:tcPr>
            <w:tcW w:w="3126" w:type="dxa"/>
            <w:shd w:val="clear" w:color="auto" w:fill="92D050"/>
          </w:tcPr>
          <w:p w:rsidR="00D60C99" w:rsidRPr="003B2770" w:rsidRDefault="00D60C99" w:rsidP="00D60C99">
            <w:pPr>
              <w:rPr>
                <w:sz w:val="22"/>
              </w:rPr>
            </w:pPr>
            <w:r w:rsidRPr="003B2770">
              <w:rPr>
                <w:sz w:val="22"/>
              </w:rPr>
              <w:t>New facilities and all future extensive renovations are completed to meet accessibility standards and Ontario Building Code barrier-free design</w:t>
            </w:r>
          </w:p>
          <w:p w:rsidR="00D60C99" w:rsidRPr="003B2770" w:rsidRDefault="00D60C99" w:rsidP="00D60C99">
            <w:pPr>
              <w:rPr>
                <w:sz w:val="22"/>
              </w:rPr>
            </w:pPr>
          </w:p>
          <w:p w:rsidR="00D60C99" w:rsidRPr="003B2770" w:rsidRDefault="00D60C99" w:rsidP="00D60C99">
            <w:pPr>
              <w:rPr>
                <w:sz w:val="22"/>
              </w:rPr>
            </w:pPr>
          </w:p>
          <w:p w:rsidR="00D60C99" w:rsidRPr="003B2770" w:rsidRDefault="00D60C99" w:rsidP="00D60C99">
            <w:pPr>
              <w:rPr>
                <w:sz w:val="22"/>
              </w:rPr>
            </w:pPr>
          </w:p>
        </w:tc>
      </w:tr>
      <w:tr w:rsidR="00D60C99" w:rsidTr="002C7C03">
        <w:trPr>
          <w:tblHeader/>
        </w:trPr>
        <w:tc>
          <w:tcPr>
            <w:tcW w:w="828" w:type="dxa"/>
            <w:vMerge/>
            <w:tcBorders>
              <w:left w:val="nil"/>
              <w:bottom w:val="nil"/>
              <w:right w:val="nil"/>
            </w:tcBorders>
          </w:tcPr>
          <w:p w:rsidR="00D60C99" w:rsidRDefault="00D60C99" w:rsidP="00D60C99"/>
        </w:tc>
        <w:tc>
          <w:tcPr>
            <w:tcW w:w="540" w:type="dxa"/>
            <w:vMerge/>
            <w:tcBorders>
              <w:left w:val="nil"/>
              <w:bottom w:val="nil"/>
            </w:tcBorders>
          </w:tcPr>
          <w:p w:rsidR="00D60C99" w:rsidRDefault="00D60C99" w:rsidP="00D60C99"/>
        </w:tc>
        <w:tc>
          <w:tcPr>
            <w:tcW w:w="1890" w:type="dxa"/>
            <w:vMerge w:val="restart"/>
            <w:shd w:val="clear" w:color="auto" w:fill="FFC000"/>
          </w:tcPr>
          <w:p w:rsidR="00D60C99" w:rsidRPr="002F7FA5" w:rsidRDefault="00D60C99" w:rsidP="00D60C99">
            <w:pPr>
              <w:rPr>
                <w:b/>
                <w:sz w:val="32"/>
                <w:szCs w:val="32"/>
              </w:rPr>
            </w:pPr>
            <w:r w:rsidRPr="002F7FA5">
              <w:rPr>
                <w:b/>
                <w:sz w:val="32"/>
                <w:szCs w:val="32"/>
              </w:rPr>
              <w:t>Foundation</w:t>
            </w:r>
          </w:p>
        </w:tc>
        <w:tc>
          <w:tcPr>
            <w:tcW w:w="4140" w:type="dxa"/>
            <w:gridSpan w:val="2"/>
            <w:shd w:val="clear" w:color="auto" w:fill="FFC000"/>
          </w:tcPr>
          <w:p w:rsidR="00D60C99" w:rsidRPr="00510098" w:rsidRDefault="00D60C99" w:rsidP="00D60C99">
            <w:pPr>
              <w:jc w:val="center"/>
              <w:rPr>
                <w:b/>
                <w:szCs w:val="24"/>
              </w:rPr>
            </w:pPr>
            <w:r w:rsidRPr="00510098">
              <w:rPr>
                <w:b/>
                <w:szCs w:val="24"/>
              </w:rPr>
              <w:t>Informed and Committed Leadership</w:t>
            </w:r>
          </w:p>
        </w:tc>
        <w:tc>
          <w:tcPr>
            <w:tcW w:w="7290" w:type="dxa"/>
            <w:gridSpan w:val="4"/>
            <w:shd w:val="clear" w:color="auto" w:fill="FFC000"/>
          </w:tcPr>
          <w:p w:rsidR="00D60C99" w:rsidRPr="00510098" w:rsidRDefault="00D60C99" w:rsidP="00D60C99">
            <w:pPr>
              <w:jc w:val="center"/>
              <w:rPr>
                <w:b/>
                <w:szCs w:val="24"/>
              </w:rPr>
            </w:pPr>
            <w:r w:rsidRPr="00510098">
              <w:rPr>
                <w:b/>
                <w:szCs w:val="24"/>
              </w:rPr>
              <w:t>Strong Governance and Accountability</w:t>
            </w:r>
          </w:p>
        </w:tc>
      </w:tr>
      <w:tr w:rsidR="00D60C99" w:rsidTr="002C7C03">
        <w:trPr>
          <w:tblHeader/>
        </w:trPr>
        <w:tc>
          <w:tcPr>
            <w:tcW w:w="828" w:type="dxa"/>
            <w:vMerge/>
            <w:tcBorders>
              <w:left w:val="nil"/>
              <w:bottom w:val="nil"/>
              <w:right w:val="nil"/>
            </w:tcBorders>
          </w:tcPr>
          <w:p w:rsidR="00D60C99" w:rsidRDefault="00D60C99" w:rsidP="00D60C99"/>
        </w:tc>
        <w:tc>
          <w:tcPr>
            <w:tcW w:w="540" w:type="dxa"/>
            <w:vMerge/>
            <w:tcBorders>
              <w:left w:val="nil"/>
              <w:bottom w:val="nil"/>
            </w:tcBorders>
          </w:tcPr>
          <w:p w:rsidR="00D60C99" w:rsidRDefault="00D60C99" w:rsidP="00D60C99"/>
        </w:tc>
        <w:tc>
          <w:tcPr>
            <w:tcW w:w="1890" w:type="dxa"/>
            <w:vMerge/>
            <w:shd w:val="clear" w:color="auto" w:fill="FFC000"/>
          </w:tcPr>
          <w:p w:rsidR="00D60C99" w:rsidRDefault="00D60C99" w:rsidP="00D60C99"/>
        </w:tc>
        <w:tc>
          <w:tcPr>
            <w:tcW w:w="4140" w:type="dxa"/>
            <w:gridSpan w:val="2"/>
            <w:shd w:val="clear" w:color="auto" w:fill="FFC000"/>
          </w:tcPr>
          <w:p w:rsidR="00D60C99" w:rsidRPr="00510098" w:rsidRDefault="00D60C99" w:rsidP="00D60C99">
            <w:pPr>
              <w:jc w:val="center"/>
              <w:rPr>
                <w:b/>
                <w:szCs w:val="24"/>
              </w:rPr>
            </w:pPr>
            <w:r w:rsidRPr="00510098">
              <w:rPr>
                <w:b/>
                <w:szCs w:val="24"/>
              </w:rPr>
              <w:t>Alignment and Coordination</w:t>
            </w:r>
          </w:p>
        </w:tc>
        <w:tc>
          <w:tcPr>
            <w:tcW w:w="7290" w:type="dxa"/>
            <w:gridSpan w:val="4"/>
            <w:shd w:val="clear" w:color="auto" w:fill="FFC000"/>
          </w:tcPr>
          <w:p w:rsidR="00D60C99" w:rsidRPr="00510098" w:rsidRDefault="00D60C99" w:rsidP="00D60C99">
            <w:pPr>
              <w:jc w:val="center"/>
              <w:rPr>
                <w:b/>
                <w:szCs w:val="24"/>
              </w:rPr>
            </w:pPr>
            <w:r w:rsidRPr="00510098">
              <w:rPr>
                <w:b/>
                <w:szCs w:val="24"/>
              </w:rPr>
              <w:t>Measurement, Evaluation, and Reporting</w:t>
            </w:r>
          </w:p>
        </w:tc>
      </w:tr>
    </w:tbl>
    <w:p w:rsidR="003B2770" w:rsidRDefault="003B2770" w:rsidP="00D60C99">
      <w:pPr>
        <w:rPr>
          <w:sz w:val="22"/>
        </w:rPr>
      </w:pPr>
    </w:p>
    <w:p w:rsidR="00D60C99" w:rsidRPr="003B2770" w:rsidRDefault="00D60C99" w:rsidP="00D60C99">
      <w:pPr>
        <w:rPr>
          <w:sz w:val="22"/>
        </w:rPr>
        <w:sectPr w:rsidR="00D60C99" w:rsidRPr="003B2770" w:rsidSect="00F329B7">
          <w:pgSz w:w="15840" w:h="12240" w:orient="landscape"/>
          <w:pgMar w:top="1440" w:right="864" w:bottom="864" w:left="864" w:header="706" w:footer="706" w:gutter="0"/>
          <w:cols w:space="708"/>
          <w:docGrid w:linePitch="360"/>
        </w:sectPr>
      </w:pPr>
      <w:r w:rsidRPr="003B2770">
        <w:rPr>
          <w:sz w:val="22"/>
        </w:rPr>
        <w:t>*based on a concept from the Ontario Public Service with thanks</w:t>
      </w:r>
      <w:r w:rsidR="004E6BCA" w:rsidRPr="003B2770">
        <w:rPr>
          <w:sz w:val="22"/>
        </w:rPr>
        <w:t xml:space="preserve">, </w:t>
      </w:r>
      <w:r w:rsidR="004E6BCA" w:rsidRPr="003B2770">
        <w:rPr>
          <w:rFonts w:cs="Arial"/>
          <w:sz w:val="22"/>
        </w:rPr>
        <w:t>any accessibility issues with the above table please contact 32563 for clarification.</w:t>
      </w:r>
    </w:p>
    <w:p w:rsidR="005A1BD3" w:rsidRDefault="005560A6" w:rsidP="009F0E4B">
      <w:pPr>
        <w:pStyle w:val="Heading1"/>
      </w:pPr>
      <w:bookmarkStart w:id="53" w:name="_Toc327799019"/>
      <w:bookmarkStart w:id="54" w:name="_Toc327799180"/>
      <w:bookmarkStart w:id="55" w:name="_Toc466287443"/>
      <w:r>
        <w:lastRenderedPageBreak/>
        <w:t>Appendix</w:t>
      </w:r>
    </w:p>
    <w:p w:rsidR="0002286F" w:rsidRPr="009F0E4B" w:rsidRDefault="0040517D" w:rsidP="005A1BD3">
      <w:pPr>
        <w:pStyle w:val="Heading2"/>
      </w:pPr>
      <w:r w:rsidRPr="009F0E4B">
        <w:t xml:space="preserve">Guiding </w:t>
      </w:r>
      <w:r w:rsidR="006D4B2F" w:rsidRPr="009F0E4B">
        <w:t>Legislati</w:t>
      </w:r>
      <w:r w:rsidRPr="009F0E4B">
        <w:t>on</w:t>
      </w:r>
      <w:bookmarkStart w:id="56" w:name="_GoBack"/>
      <w:bookmarkEnd w:id="53"/>
      <w:bookmarkEnd w:id="54"/>
      <w:bookmarkEnd w:id="55"/>
      <w:bookmarkEnd w:id="56"/>
    </w:p>
    <w:p w:rsidR="004C29F5" w:rsidRPr="009F0E4B" w:rsidRDefault="004C29F5" w:rsidP="0040517D">
      <w:pPr>
        <w:jc w:val="both"/>
        <w:rPr>
          <w:rFonts w:eastAsia="Times New Roman" w:cstheme="minorHAnsi"/>
          <w:szCs w:val="24"/>
        </w:rPr>
      </w:pPr>
      <w:r w:rsidRPr="009F0E4B">
        <w:rPr>
          <w:rFonts w:eastAsia="Times New Roman" w:cstheme="minorHAnsi"/>
          <w:szCs w:val="24"/>
        </w:rPr>
        <w:t xml:space="preserve">The </w:t>
      </w:r>
      <w:hyperlink r:id="rId56" w:history="1">
        <w:r w:rsidRPr="009F0E4B">
          <w:rPr>
            <w:rStyle w:val="Hyperlink"/>
            <w:rFonts w:eastAsia="Times New Roman" w:cstheme="minorHAnsi"/>
            <w:i/>
            <w:szCs w:val="24"/>
          </w:rPr>
          <w:t>Ontarians with Disabilities Act</w:t>
        </w:r>
      </w:hyperlink>
      <w:r w:rsidRPr="009F0E4B">
        <w:rPr>
          <w:rFonts w:eastAsia="Times New Roman" w:cstheme="minorHAnsi"/>
          <w:i/>
          <w:szCs w:val="24"/>
        </w:rPr>
        <w:t>, 2001</w:t>
      </w:r>
      <w:r w:rsidRPr="009F0E4B">
        <w:rPr>
          <w:rFonts w:eastAsia="Times New Roman" w:cstheme="minorHAnsi"/>
          <w:szCs w:val="24"/>
        </w:rPr>
        <w:t xml:space="preserve"> (ODA) ensures that public organizations incorporate accessibility planning into their operations and facilities </w:t>
      </w:r>
      <w:r w:rsidR="0040517D" w:rsidRPr="009F0E4B">
        <w:rPr>
          <w:rFonts w:eastAsia="Times New Roman" w:cstheme="minorHAnsi"/>
          <w:szCs w:val="24"/>
        </w:rPr>
        <w:t xml:space="preserve">and document such actions within an accessibility plan. In 2005, a second piece of legislation, the </w:t>
      </w:r>
      <w:hyperlink r:id="rId57" w:history="1">
        <w:r w:rsidR="0040517D" w:rsidRPr="009F0E4B">
          <w:rPr>
            <w:rStyle w:val="Hyperlink"/>
            <w:rFonts w:eastAsia="Times New Roman" w:cstheme="minorHAnsi"/>
            <w:i/>
            <w:szCs w:val="24"/>
          </w:rPr>
          <w:t>Accessibility for Ontarians with Disabilities Act</w:t>
        </w:r>
      </w:hyperlink>
      <w:r w:rsidR="0040517D" w:rsidRPr="009F0E4B">
        <w:rPr>
          <w:rFonts w:eastAsia="Times New Roman" w:cstheme="minorHAnsi"/>
          <w:szCs w:val="24"/>
        </w:rPr>
        <w:t xml:space="preserve"> (AODA) was enacted to further qualify the ODA and serve as a framework for the establishment of accessibility standards in five areas:  customer service, information &amp; communications, transportation, employment, and the built environment. The standards support the principles of the AODA to ensure dignity, integration, independence, and equal opportunity and each has specific timelines for implementation. </w:t>
      </w:r>
    </w:p>
    <w:p w:rsidR="0040517D" w:rsidRPr="009F0E4B" w:rsidRDefault="0040517D" w:rsidP="0040517D">
      <w:pPr>
        <w:jc w:val="both"/>
        <w:rPr>
          <w:rFonts w:eastAsia="Times New Roman" w:cstheme="minorHAnsi"/>
          <w:szCs w:val="24"/>
        </w:rPr>
      </w:pPr>
      <w:r w:rsidRPr="009F0E4B">
        <w:rPr>
          <w:rFonts w:eastAsia="Times New Roman" w:cstheme="minorHAnsi"/>
          <w:szCs w:val="24"/>
        </w:rPr>
        <w:t xml:space="preserve">Compliance with the ODA and AODA is required and are in place </w:t>
      </w:r>
      <w:proofErr w:type="gramStart"/>
      <w:r w:rsidRPr="009F0E4B">
        <w:rPr>
          <w:rFonts w:eastAsia="Times New Roman" w:cstheme="minorHAnsi"/>
          <w:szCs w:val="24"/>
        </w:rPr>
        <w:t>for the purpose of</w:t>
      </w:r>
      <w:proofErr w:type="gramEnd"/>
      <w:r w:rsidRPr="009F0E4B">
        <w:rPr>
          <w:rFonts w:eastAsia="Times New Roman" w:cstheme="minorHAnsi"/>
          <w:szCs w:val="24"/>
        </w:rPr>
        <w:t xml:space="preserve"> ensuring that persons with disabilities are not discriminated against. Implementation is being phased in over time to achieve the Provincial government objective of a fully accessible province by 2025.</w:t>
      </w:r>
    </w:p>
    <w:p w:rsidR="00C0067F" w:rsidRPr="009F0E4B" w:rsidRDefault="00C0067F" w:rsidP="007F1703">
      <w:pPr>
        <w:jc w:val="both"/>
        <w:rPr>
          <w:rFonts w:cstheme="minorHAnsi"/>
          <w:szCs w:val="24"/>
        </w:rPr>
      </w:pPr>
      <w:r w:rsidRPr="009F0E4B">
        <w:rPr>
          <w:rFonts w:cstheme="minorHAnsi"/>
          <w:szCs w:val="24"/>
        </w:rPr>
        <w:t xml:space="preserve">The </w:t>
      </w:r>
      <w:r w:rsidRPr="009F0E4B">
        <w:rPr>
          <w:rFonts w:cstheme="minorHAnsi"/>
          <w:i/>
          <w:szCs w:val="24"/>
        </w:rPr>
        <w:t>AODA</w:t>
      </w:r>
      <w:r w:rsidRPr="009F0E4B">
        <w:rPr>
          <w:rFonts w:cstheme="minorHAnsi"/>
          <w:szCs w:val="24"/>
        </w:rPr>
        <w:t xml:space="preserve"> recognizes the </w:t>
      </w:r>
      <w:r w:rsidR="00913A14" w:rsidRPr="009F0E4B">
        <w:rPr>
          <w:rFonts w:cstheme="minorHAnsi"/>
          <w:szCs w:val="24"/>
        </w:rPr>
        <w:t xml:space="preserve">interaction between the </w:t>
      </w:r>
      <w:r w:rsidR="006F5702" w:rsidRPr="009F0E4B">
        <w:rPr>
          <w:rFonts w:cstheme="minorHAnsi"/>
          <w:i/>
          <w:szCs w:val="24"/>
        </w:rPr>
        <w:t>AODA</w:t>
      </w:r>
      <w:r w:rsidR="006F5702" w:rsidRPr="009F0E4B">
        <w:rPr>
          <w:rFonts w:cstheme="minorHAnsi"/>
          <w:szCs w:val="24"/>
        </w:rPr>
        <w:t xml:space="preserve">, the </w:t>
      </w:r>
      <w:hyperlink r:id="rId58" w:history="1">
        <w:r w:rsidR="00913A14" w:rsidRPr="009F0E4B">
          <w:rPr>
            <w:rStyle w:val="Hyperlink"/>
            <w:rFonts w:cstheme="minorHAnsi"/>
            <w:i/>
            <w:szCs w:val="24"/>
          </w:rPr>
          <w:t>Ontario Human Rights Code</w:t>
        </w:r>
      </w:hyperlink>
      <w:r w:rsidR="00913A14" w:rsidRPr="009F0E4B">
        <w:rPr>
          <w:rFonts w:cstheme="minorHAnsi"/>
          <w:i/>
          <w:szCs w:val="24"/>
        </w:rPr>
        <w:t>, 1990</w:t>
      </w:r>
      <w:r w:rsidR="00913A14" w:rsidRPr="009F0E4B">
        <w:rPr>
          <w:rFonts w:cstheme="minorHAnsi"/>
          <w:szCs w:val="24"/>
        </w:rPr>
        <w:t xml:space="preserve"> and the </w:t>
      </w:r>
      <w:hyperlink r:id="rId59" w:anchor="BK1" w:history="1">
        <w:r w:rsidR="00913A14" w:rsidRPr="009F0E4B">
          <w:rPr>
            <w:rStyle w:val="Hyperlink"/>
            <w:rFonts w:cstheme="minorHAnsi"/>
            <w:i/>
            <w:szCs w:val="24"/>
          </w:rPr>
          <w:t>Ontario Building Code Act</w:t>
        </w:r>
      </w:hyperlink>
      <w:r w:rsidR="00913A14" w:rsidRPr="009F0E4B">
        <w:rPr>
          <w:rFonts w:cstheme="minorHAnsi"/>
          <w:i/>
          <w:szCs w:val="24"/>
        </w:rPr>
        <w:t>, 1992</w:t>
      </w:r>
      <w:r w:rsidR="00913A14" w:rsidRPr="009F0E4B">
        <w:rPr>
          <w:rFonts w:cstheme="minorHAnsi"/>
          <w:szCs w:val="24"/>
        </w:rPr>
        <w:t>.</w:t>
      </w:r>
    </w:p>
    <w:p w:rsidR="006C1BE3" w:rsidRPr="00C0067F" w:rsidRDefault="006C1BE3" w:rsidP="006C1BE3">
      <w:pPr>
        <w:spacing w:line="240" w:lineRule="auto"/>
        <w:ind w:left="720"/>
        <w:jc w:val="both"/>
        <w:rPr>
          <w:rFonts w:ascii="Times New Roman" w:hAnsi="Times New Roman" w:cs="Times New Roman"/>
          <w:i/>
          <w:szCs w:val="24"/>
        </w:rPr>
      </w:pPr>
      <w:r w:rsidRPr="00C0067F">
        <w:rPr>
          <w:rFonts w:ascii="Times New Roman" w:hAnsi="Times New Roman" w:cs="Times New Roman"/>
          <w:i/>
          <w:szCs w:val="24"/>
        </w:rPr>
        <w:t xml:space="preserve">Nothing in this Act or in the regulations diminishes in any way the legal obligations of the </w:t>
      </w:r>
      <w:r w:rsidRPr="00E24453">
        <w:rPr>
          <w:rFonts w:ascii="Times New Roman" w:hAnsi="Times New Roman" w:cs="Times New Roman"/>
          <w:i/>
          <w:szCs w:val="24"/>
        </w:rPr>
        <w:t>Government</w:t>
      </w:r>
      <w:r w:rsidRPr="00C0067F">
        <w:rPr>
          <w:rFonts w:ascii="Times New Roman" w:hAnsi="Times New Roman" w:cs="Times New Roman"/>
          <w:i/>
          <w:szCs w:val="24"/>
        </w:rPr>
        <w:t xml:space="preserve"> of Ontario or of any person or organization with respect to persons with disabilities that are imposed under any other Act or otherwise imposed by law. </w:t>
      </w:r>
      <w:proofErr w:type="gramStart"/>
      <w:r w:rsidRPr="00C0067F">
        <w:rPr>
          <w:rFonts w:ascii="Times New Roman" w:hAnsi="Times New Roman" w:cs="Times New Roman"/>
          <w:i/>
          <w:szCs w:val="24"/>
        </w:rPr>
        <w:t>2005</w:t>
      </w:r>
      <w:proofErr w:type="gramEnd"/>
      <w:r w:rsidRPr="00C0067F">
        <w:rPr>
          <w:rFonts w:ascii="Times New Roman" w:hAnsi="Times New Roman" w:cs="Times New Roman"/>
          <w:i/>
          <w:szCs w:val="24"/>
        </w:rPr>
        <w:t>, c. 11, s. 3.</w:t>
      </w:r>
    </w:p>
    <w:p w:rsidR="00C0067F" w:rsidRPr="009F0E4B" w:rsidRDefault="00C0067F" w:rsidP="008309A4">
      <w:pPr>
        <w:jc w:val="both"/>
        <w:rPr>
          <w:rFonts w:cstheme="minorHAnsi"/>
          <w:szCs w:val="24"/>
        </w:rPr>
      </w:pPr>
      <w:r w:rsidRPr="009F0E4B">
        <w:rPr>
          <w:rFonts w:cstheme="minorHAnsi"/>
          <w:szCs w:val="24"/>
        </w:rPr>
        <w:t xml:space="preserve">Therefore, the organizational requirements of the AODA </w:t>
      </w:r>
      <w:r w:rsidR="008309A4" w:rsidRPr="009F0E4B">
        <w:rPr>
          <w:rFonts w:cstheme="minorHAnsi"/>
          <w:szCs w:val="24"/>
        </w:rPr>
        <w:t xml:space="preserve">and its </w:t>
      </w:r>
      <w:r w:rsidRPr="009F0E4B">
        <w:rPr>
          <w:rFonts w:cstheme="minorHAnsi"/>
          <w:szCs w:val="24"/>
        </w:rPr>
        <w:t>Regulation</w:t>
      </w:r>
      <w:r w:rsidR="008309A4" w:rsidRPr="009F0E4B">
        <w:rPr>
          <w:rFonts w:cstheme="minorHAnsi"/>
          <w:szCs w:val="24"/>
        </w:rPr>
        <w:t>s</w:t>
      </w:r>
      <w:r w:rsidRPr="009F0E4B">
        <w:rPr>
          <w:rFonts w:cstheme="minorHAnsi"/>
          <w:szCs w:val="24"/>
        </w:rPr>
        <w:t xml:space="preserve"> do not replace or change our legal obligations towards persons with disabilities under the </w:t>
      </w:r>
      <w:r w:rsidR="0090715B" w:rsidRPr="009F0E4B">
        <w:rPr>
          <w:rFonts w:cstheme="minorHAnsi"/>
          <w:i/>
          <w:szCs w:val="24"/>
        </w:rPr>
        <w:t xml:space="preserve">Ontario </w:t>
      </w:r>
      <w:r w:rsidRPr="009F0E4B">
        <w:rPr>
          <w:rFonts w:cstheme="minorHAnsi"/>
          <w:i/>
          <w:szCs w:val="24"/>
        </w:rPr>
        <w:t>Human Right</w:t>
      </w:r>
      <w:r w:rsidR="0090715B" w:rsidRPr="009F0E4B">
        <w:rPr>
          <w:rFonts w:cstheme="minorHAnsi"/>
          <w:i/>
          <w:szCs w:val="24"/>
        </w:rPr>
        <w:t>s</w:t>
      </w:r>
      <w:r w:rsidRPr="009F0E4B">
        <w:rPr>
          <w:rFonts w:cstheme="minorHAnsi"/>
          <w:i/>
          <w:szCs w:val="24"/>
        </w:rPr>
        <w:t xml:space="preserve"> Code</w:t>
      </w:r>
      <w:r w:rsidR="0090715B" w:rsidRPr="009F0E4B">
        <w:rPr>
          <w:rFonts w:cstheme="minorHAnsi"/>
          <w:szCs w:val="24"/>
        </w:rPr>
        <w:t xml:space="preserve">, </w:t>
      </w:r>
      <w:r w:rsidR="0090715B" w:rsidRPr="009F0E4B">
        <w:rPr>
          <w:rFonts w:cstheme="minorHAnsi"/>
          <w:i/>
          <w:szCs w:val="24"/>
        </w:rPr>
        <w:t>1990</w:t>
      </w:r>
      <w:r w:rsidR="00DE2354">
        <w:rPr>
          <w:rFonts w:cstheme="minorHAnsi"/>
          <w:i/>
          <w:szCs w:val="24"/>
        </w:rPr>
        <w:t xml:space="preserve"> </w:t>
      </w:r>
      <w:r w:rsidRPr="009F0E4B">
        <w:rPr>
          <w:rFonts w:cstheme="minorHAnsi"/>
          <w:szCs w:val="24"/>
        </w:rPr>
        <w:t xml:space="preserve">(e.g., </w:t>
      </w:r>
      <w:r w:rsidR="0042582C" w:rsidRPr="009F0E4B">
        <w:rPr>
          <w:rFonts w:cstheme="minorHAnsi"/>
          <w:szCs w:val="24"/>
        </w:rPr>
        <w:t>a request</w:t>
      </w:r>
      <w:r w:rsidRPr="009F0E4B">
        <w:rPr>
          <w:rFonts w:cstheme="minorHAnsi"/>
          <w:szCs w:val="24"/>
        </w:rPr>
        <w:t xml:space="preserve"> to accommodate an individual student or employee with a disability) or any other Act such as the </w:t>
      </w:r>
      <w:r w:rsidRPr="009F0E4B">
        <w:rPr>
          <w:rFonts w:cstheme="minorHAnsi"/>
          <w:i/>
          <w:szCs w:val="24"/>
        </w:rPr>
        <w:t>Ontario Building Code Act, 1992</w:t>
      </w:r>
      <w:r w:rsidRPr="009F0E4B">
        <w:rPr>
          <w:rFonts w:cstheme="minorHAnsi"/>
          <w:szCs w:val="24"/>
        </w:rPr>
        <w:t>.</w:t>
      </w:r>
      <w:r w:rsidR="006F5702" w:rsidRPr="009F0E4B">
        <w:rPr>
          <w:rFonts w:cstheme="minorHAnsi"/>
          <w:szCs w:val="24"/>
        </w:rPr>
        <w:t xml:space="preserve"> Accordingly, if the university only complies with the requirements of the </w:t>
      </w:r>
      <w:r w:rsidR="006F5702" w:rsidRPr="009F0E4B">
        <w:rPr>
          <w:rFonts w:cstheme="minorHAnsi"/>
          <w:i/>
          <w:szCs w:val="24"/>
        </w:rPr>
        <w:t>AODA</w:t>
      </w:r>
      <w:r w:rsidR="006F5702" w:rsidRPr="009F0E4B">
        <w:rPr>
          <w:rFonts w:cstheme="minorHAnsi"/>
          <w:szCs w:val="24"/>
        </w:rPr>
        <w:t xml:space="preserve"> and/or the </w:t>
      </w:r>
      <w:r w:rsidR="006F5702" w:rsidRPr="009F0E4B">
        <w:rPr>
          <w:rFonts w:cstheme="minorHAnsi"/>
          <w:i/>
          <w:szCs w:val="24"/>
        </w:rPr>
        <w:t>Building Code</w:t>
      </w:r>
      <w:r w:rsidR="006F5702" w:rsidRPr="009F0E4B">
        <w:rPr>
          <w:rFonts w:cstheme="minorHAnsi"/>
          <w:szCs w:val="24"/>
        </w:rPr>
        <w:t xml:space="preserve"> it may be vulnerable to a human rights complaint to the extent that their premises </w:t>
      </w:r>
      <w:r w:rsidR="003943F7" w:rsidRPr="009F0E4B">
        <w:rPr>
          <w:rFonts w:cstheme="minorHAnsi"/>
          <w:szCs w:val="24"/>
        </w:rPr>
        <w:t xml:space="preserve">and practices </w:t>
      </w:r>
      <w:r w:rsidR="006F5702" w:rsidRPr="009F0E4B">
        <w:rPr>
          <w:rFonts w:cstheme="minorHAnsi"/>
          <w:szCs w:val="24"/>
        </w:rPr>
        <w:t xml:space="preserve">continue to fall short of the requirements of the </w:t>
      </w:r>
      <w:r w:rsidR="006F5702" w:rsidRPr="009F0E4B">
        <w:rPr>
          <w:rFonts w:cstheme="minorHAnsi"/>
          <w:i/>
          <w:szCs w:val="24"/>
        </w:rPr>
        <w:t>Human Rights Code</w:t>
      </w:r>
      <w:r w:rsidR="006F5702" w:rsidRPr="009F0E4B">
        <w:rPr>
          <w:rFonts w:cstheme="minorHAnsi"/>
          <w:szCs w:val="24"/>
        </w:rPr>
        <w:t xml:space="preserve">. In sum, the </w:t>
      </w:r>
      <w:r w:rsidR="006F5702" w:rsidRPr="009F0E4B">
        <w:rPr>
          <w:rFonts w:cstheme="minorHAnsi"/>
          <w:i/>
          <w:szCs w:val="24"/>
        </w:rPr>
        <w:t>Human Rights Code</w:t>
      </w:r>
      <w:r w:rsidR="006F5702" w:rsidRPr="009F0E4B">
        <w:rPr>
          <w:rFonts w:cstheme="minorHAnsi"/>
          <w:szCs w:val="24"/>
        </w:rPr>
        <w:t xml:space="preserve"> prevails over any other Act or regulation.</w:t>
      </w:r>
      <w:r w:rsidR="006F5702" w:rsidRPr="009F0E4B">
        <w:rPr>
          <w:rStyle w:val="FootnoteReference"/>
          <w:rFonts w:cstheme="minorHAnsi"/>
          <w:szCs w:val="24"/>
        </w:rPr>
        <w:footnoteReference w:id="1"/>
      </w:r>
    </w:p>
    <w:p w:rsidR="00020AB4" w:rsidRPr="009F0E4B" w:rsidRDefault="00020AB4" w:rsidP="00020AB4">
      <w:pPr>
        <w:rPr>
          <w:rFonts w:cstheme="minorHAnsi"/>
          <w:szCs w:val="24"/>
        </w:rPr>
      </w:pPr>
      <w:r w:rsidRPr="009F0E4B">
        <w:rPr>
          <w:rFonts w:cstheme="minorHAnsi"/>
          <w:b/>
          <w:szCs w:val="24"/>
        </w:rPr>
        <w:t>Integrated Accessibility Standards – Ontario Regulation 191/11</w:t>
      </w:r>
    </w:p>
    <w:p w:rsidR="00020AB4" w:rsidRDefault="00530925" w:rsidP="00020AB4">
      <w:pPr>
        <w:jc w:val="both"/>
        <w:rPr>
          <w:rFonts w:cstheme="minorHAnsi"/>
          <w:szCs w:val="24"/>
        </w:rPr>
      </w:pPr>
      <w:r>
        <w:rPr>
          <w:rFonts w:cstheme="minorHAnsi"/>
          <w:szCs w:val="24"/>
        </w:rPr>
        <w:t>This</w:t>
      </w:r>
      <w:r w:rsidR="00020AB4" w:rsidRPr="009F0E4B">
        <w:rPr>
          <w:rFonts w:cstheme="minorHAnsi"/>
          <w:szCs w:val="24"/>
        </w:rPr>
        <w:t xml:space="preserve"> </w:t>
      </w:r>
      <w:hyperlink r:id="rId60" w:history="1">
        <w:r>
          <w:rPr>
            <w:rStyle w:val="Hyperlink"/>
            <w:rFonts w:cstheme="minorHAnsi"/>
            <w:szCs w:val="24"/>
          </w:rPr>
          <w:t>regulation</w:t>
        </w:r>
      </w:hyperlink>
      <w:r w:rsidR="00020AB4" w:rsidRPr="009F0E4B">
        <w:rPr>
          <w:rFonts w:cstheme="minorHAnsi"/>
          <w:szCs w:val="24"/>
        </w:rPr>
        <w:t xml:space="preserve"> </w:t>
      </w:r>
      <w:r w:rsidR="00FE11D4" w:rsidRPr="00FE11D4">
        <w:rPr>
          <w:rFonts w:cstheme="minorHAnsi"/>
          <w:szCs w:val="24"/>
        </w:rPr>
        <w:t>establishes the accessibility standards for each of information and communications, employment, transportation, the design of public spaces and customer service.</w:t>
      </w:r>
      <w:r w:rsidR="00020AB4" w:rsidRPr="00FE11D4">
        <w:rPr>
          <w:rFonts w:cstheme="minorHAnsi"/>
          <w:szCs w:val="24"/>
        </w:rPr>
        <w:t xml:space="preserve"> </w:t>
      </w:r>
      <w:r w:rsidR="00020AB4" w:rsidRPr="009F0E4B">
        <w:rPr>
          <w:rFonts w:cstheme="minorHAnsi"/>
          <w:szCs w:val="24"/>
        </w:rPr>
        <w:t xml:space="preserve">The information and communications standards sets out how organizations </w:t>
      </w:r>
      <w:r w:rsidR="00020AB4">
        <w:rPr>
          <w:rFonts w:cstheme="minorHAnsi"/>
          <w:szCs w:val="24"/>
        </w:rPr>
        <w:t>are</w:t>
      </w:r>
      <w:r w:rsidR="00020AB4" w:rsidRPr="009F0E4B">
        <w:rPr>
          <w:rFonts w:cstheme="minorHAnsi"/>
          <w:szCs w:val="24"/>
        </w:rPr>
        <w:t xml:space="preserve"> required to create, provide, and receive information and communications that are accessible for persons with disabilities. The employment standards set out specific requirements for the recruitment, retention, and accommodation of paid employees with disabilities. The transportation standards are the only set of standards that are sector </w:t>
      </w:r>
      <w:r w:rsidR="00020AB4" w:rsidRPr="009F0E4B">
        <w:rPr>
          <w:rFonts w:cstheme="minorHAnsi"/>
          <w:szCs w:val="24"/>
        </w:rPr>
        <w:lastRenderedPageBreak/>
        <w:t xml:space="preserve">specific, that is, they relate specifically to modes of transportation that come under the jurisdiction of provincial and municipal governments. </w:t>
      </w:r>
    </w:p>
    <w:p w:rsidR="00FC0F24" w:rsidRPr="009F0E4B" w:rsidRDefault="00FC0F24" w:rsidP="00020AB4">
      <w:pPr>
        <w:jc w:val="both"/>
        <w:rPr>
          <w:rFonts w:cstheme="minorHAnsi"/>
          <w:szCs w:val="24"/>
        </w:rPr>
      </w:pPr>
    </w:p>
    <w:p w:rsidR="007537C5" w:rsidRPr="009F0E4B" w:rsidRDefault="00A52D8D" w:rsidP="00A52D8D">
      <w:pPr>
        <w:rPr>
          <w:rFonts w:cstheme="minorHAnsi"/>
          <w:b/>
          <w:szCs w:val="24"/>
        </w:rPr>
      </w:pPr>
      <w:r w:rsidRPr="009F0E4B">
        <w:rPr>
          <w:rFonts w:cstheme="minorHAnsi"/>
          <w:b/>
          <w:szCs w:val="24"/>
        </w:rPr>
        <w:t>Customer Ser</w:t>
      </w:r>
      <w:r w:rsidR="00020AB4">
        <w:rPr>
          <w:rFonts w:cstheme="minorHAnsi"/>
          <w:b/>
          <w:szCs w:val="24"/>
        </w:rPr>
        <w:t xml:space="preserve">vice </w:t>
      </w:r>
      <w:r w:rsidR="00530925">
        <w:rPr>
          <w:rFonts w:cstheme="minorHAnsi"/>
          <w:b/>
          <w:szCs w:val="24"/>
        </w:rPr>
        <w:t xml:space="preserve">Standard </w:t>
      </w:r>
      <w:r w:rsidR="00020AB4">
        <w:rPr>
          <w:rFonts w:cstheme="minorHAnsi"/>
          <w:b/>
          <w:szCs w:val="24"/>
        </w:rPr>
        <w:t>– Ontario Regulation 191/11, Part IV.2</w:t>
      </w:r>
    </w:p>
    <w:p w:rsidR="000E276E" w:rsidRPr="009F0E4B" w:rsidRDefault="00020AB4" w:rsidP="00A52D8D">
      <w:pPr>
        <w:rPr>
          <w:rFonts w:cstheme="minorHAnsi"/>
          <w:szCs w:val="24"/>
        </w:rPr>
      </w:pPr>
      <w:r>
        <w:rPr>
          <w:rFonts w:cstheme="minorHAnsi"/>
          <w:szCs w:val="24"/>
        </w:rPr>
        <w:t>As of July 2016, t</w:t>
      </w:r>
      <w:r w:rsidR="000E276E" w:rsidRPr="009F0E4B">
        <w:rPr>
          <w:rFonts w:cstheme="minorHAnsi"/>
          <w:szCs w:val="24"/>
        </w:rPr>
        <w:t xml:space="preserve">his </w:t>
      </w:r>
      <w:hyperlink r:id="rId61" w:anchor="BK148" w:history="1">
        <w:r w:rsidR="000E276E" w:rsidRPr="009F0E4B">
          <w:rPr>
            <w:rStyle w:val="Hyperlink"/>
            <w:rFonts w:cstheme="minorHAnsi"/>
            <w:szCs w:val="24"/>
          </w:rPr>
          <w:t>standard</w:t>
        </w:r>
      </w:hyperlink>
      <w:r>
        <w:rPr>
          <w:rFonts w:cstheme="minorHAnsi"/>
          <w:szCs w:val="24"/>
        </w:rPr>
        <w:t xml:space="preserve"> </w:t>
      </w:r>
      <w:r w:rsidRPr="00020AB4">
        <w:rPr>
          <w:rFonts w:cstheme="minorHAnsi"/>
          <w:szCs w:val="24"/>
        </w:rPr>
        <w:t xml:space="preserve">are now part of </w:t>
      </w:r>
      <w:r w:rsidR="00FE11D4">
        <w:rPr>
          <w:rFonts w:cstheme="minorHAnsi"/>
          <w:szCs w:val="24"/>
        </w:rPr>
        <w:t>the</w:t>
      </w:r>
      <w:r w:rsidRPr="00020AB4">
        <w:rPr>
          <w:rFonts w:cstheme="minorHAnsi"/>
          <w:szCs w:val="24"/>
        </w:rPr>
        <w:t xml:space="preserve"> Integrated Accessibility Standards</w:t>
      </w:r>
      <w:r w:rsidR="000E276E" w:rsidRPr="009F0E4B">
        <w:rPr>
          <w:rFonts w:cstheme="minorHAnsi"/>
          <w:szCs w:val="24"/>
        </w:rPr>
        <w:t>. It ensures that persons with disabilities can receive goods and services in a manner that takes into account one’s disability.</w:t>
      </w:r>
    </w:p>
    <w:p w:rsidR="00FE11D4" w:rsidRDefault="00FE11D4" w:rsidP="00FE11D4">
      <w:pPr>
        <w:jc w:val="both"/>
        <w:rPr>
          <w:rFonts w:cstheme="minorHAnsi"/>
          <w:b/>
          <w:szCs w:val="24"/>
        </w:rPr>
      </w:pPr>
      <w:r w:rsidRPr="00FE11D4">
        <w:rPr>
          <w:rFonts w:cstheme="minorHAnsi"/>
          <w:b/>
          <w:szCs w:val="24"/>
        </w:rPr>
        <w:t xml:space="preserve">Design of Public Spaces Standards </w:t>
      </w:r>
      <w:r>
        <w:rPr>
          <w:rFonts w:cstheme="minorHAnsi"/>
          <w:b/>
          <w:szCs w:val="24"/>
        </w:rPr>
        <w:t>– Ontario Regulation 191/11, Part IV.1</w:t>
      </w:r>
    </w:p>
    <w:p w:rsidR="00623419" w:rsidRPr="009F0E4B" w:rsidRDefault="00623419" w:rsidP="00FE11D4">
      <w:pPr>
        <w:jc w:val="both"/>
        <w:rPr>
          <w:rFonts w:cstheme="minorHAnsi"/>
          <w:szCs w:val="24"/>
        </w:rPr>
      </w:pPr>
      <w:r w:rsidRPr="009F0E4B">
        <w:rPr>
          <w:rFonts w:cstheme="minorHAnsi"/>
          <w:szCs w:val="24"/>
        </w:rPr>
        <w:t xml:space="preserve">These </w:t>
      </w:r>
      <w:hyperlink r:id="rId62" w:anchor="BK91" w:history="1">
        <w:r w:rsidRPr="009F0E4B">
          <w:rPr>
            <w:rStyle w:val="Hyperlink"/>
            <w:rFonts w:cstheme="minorHAnsi"/>
            <w:szCs w:val="24"/>
          </w:rPr>
          <w:t>standards</w:t>
        </w:r>
      </w:hyperlink>
      <w:r w:rsidRPr="009F0E4B">
        <w:rPr>
          <w:rFonts w:cstheme="minorHAnsi"/>
          <w:szCs w:val="24"/>
        </w:rPr>
        <w:t xml:space="preserve"> </w:t>
      </w:r>
      <w:r w:rsidR="00FE11D4" w:rsidRPr="00020AB4">
        <w:rPr>
          <w:rFonts w:cstheme="minorHAnsi"/>
          <w:szCs w:val="24"/>
        </w:rPr>
        <w:t xml:space="preserve">are part of </w:t>
      </w:r>
      <w:r w:rsidR="00FE11D4">
        <w:rPr>
          <w:rFonts w:cstheme="minorHAnsi"/>
          <w:szCs w:val="24"/>
        </w:rPr>
        <w:t>the</w:t>
      </w:r>
      <w:r w:rsidR="00FE11D4" w:rsidRPr="00020AB4">
        <w:rPr>
          <w:rFonts w:cstheme="minorHAnsi"/>
          <w:szCs w:val="24"/>
        </w:rPr>
        <w:t xml:space="preserve"> Integrated Accessibility </w:t>
      </w:r>
      <w:proofErr w:type="gramStart"/>
      <w:r w:rsidR="00FE11D4" w:rsidRPr="00020AB4">
        <w:rPr>
          <w:rFonts w:cstheme="minorHAnsi"/>
          <w:szCs w:val="24"/>
        </w:rPr>
        <w:t>Standards</w:t>
      </w:r>
      <w:r w:rsidRPr="009F0E4B">
        <w:rPr>
          <w:rFonts w:cstheme="minorHAnsi"/>
          <w:szCs w:val="24"/>
        </w:rPr>
        <w:t xml:space="preserve"> </w:t>
      </w:r>
      <w:r w:rsidR="00FE11D4">
        <w:rPr>
          <w:rFonts w:cstheme="minorHAnsi"/>
          <w:szCs w:val="24"/>
        </w:rPr>
        <w:t>which</w:t>
      </w:r>
      <w:proofErr w:type="gramEnd"/>
      <w:r w:rsidR="00FE11D4">
        <w:rPr>
          <w:rFonts w:cstheme="minorHAnsi"/>
          <w:szCs w:val="24"/>
        </w:rPr>
        <w:t xml:space="preserve"> are the accessibility standards for the built environment. These standards </w:t>
      </w:r>
      <w:r w:rsidRPr="009F0E4B">
        <w:rPr>
          <w:rFonts w:cstheme="minorHAnsi"/>
          <w:szCs w:val="24"/>
        </w:rPr>
        <w:t>focus on removing barriers in two areas</w:t>
      </w:r>
      <w:proofErr w:type="gramStart"/>
      <w:r w:rsidRPr="009F0E4B">
        <w:rPr>
          <w:rFonts w:cstheme="minorHAnsi"/>
          <w:szCs w:val="24"/>
        </w:rPr>
        <w:t>;</w:t>
      </w:r>
      <w:proofErr w:type="gramEnd"/>
      <w:r w:rsidRPr="009F0E4B">
        <w:rPr>
          <w:rFonts w:cstheme="minorHAnsi"/>
          <w:szCs w:val="24"/>
        </w:rPr>
        <w:t xml:space="preserve"> public spaces, and buildings. These standards only apply to new construction and majo</w:t>
      </w:r>
      <w:r w:rsidR="00FE11D4">
        <w:rPr>
          <w:rFonts w:cstheme="minorHAnsi"/>
          <w:szCs w:val="24"/>
        </w:rPr>
        <w:t>r changes to existing features.</w:t>
      </w:r>
    </w:p>
    <w:p w:rsidR="00457A76" w:rsidRDefault="00457A76" w:rsidP="00D15055">
      <w:pPr>
        <w:rPr>
          <w:rFonts w:cstheme="minorHAnsi"/>
          <w:szCs w:val="24"/>
        </w:rPr>
      </w:pPr>
    </w:p>
    <w:p w:rsidR="007056C5" w:rsidRDefault="007056C5">
      <w:pPr>
        <w:rPr>
          <w:rFonts w:cstheme="minorHAnsi"/>
          <w:szCs w:val="24"/>
        </w:rPr>
        <w:sectPr w:rsidR="007056C5" w:rsidSect="004621B8">
          <w:headerReference w:type="default" r:id="rId63"/>
          <w:footerReference w:type="default" r:id="rId64"/>
          <w:pgSz w:w="12240" w:h="15840"/>
          <w:pgMar w:top="864" w:right="864" w:bottom="864" w:left="1440" w:header="706" w:footer="706" w:gutter="0"/>
          <w:cols w:space="708"/>
          <w:docGrid w:linePitch="360"/>
        </w:sectPr>
      </w:pPr>
    </w:p>
    <w:tbl>
      <w:tblPr>
        <w:tblW w:w="9734" w:type="dxa"/>
        <w:jc w:val="center"/>
        <w:tblLook w:val="01E0" w:firstRow="1" w:lastRow="1" w:firstColumn="1" w:lastColumn="1" w:noHBand="0" w:noVBand="0"/>
      </w:tblPr>
      <w:tblGrid>
        <w:gridCol w:w="4142"/>
        <w:gridCol w:w="5592"/>
      </w:tblGrid>
      <w:tr w:rsidR="00457A76" w:rsidRPr="00457A76" w:rsidTr="00457A76">
        <w:trPr>
          <w:trHeight w:val="1786"/>
          <w:tblHeader/>
          <w:jc w:val="center"/>
        </w:trPr>
        <w:tc>
          <w:tcPr>
            <w:tcW w:w="4142" w:type="dxa"/>
            <w:shd w:val="clear" w:color="auto" w:fill="auto"/>
            <w:vAlign w:val="center"/>
          </w:tcPr>
          <w:p w:rsidR="00457A76" w:rsidRPr="00457A76" w:rsidRDefault="00457A76" w:rsidP="00457A76">
            <w:pPr>
              <w:rPr>
                <w:rFonts w:cstheme="minorHAnsi"/>
                <w:szCs w:val="24"/>
              </w:rPr>
            </w:pPr>
            <w:r w:rsidRPr="00457A76">
              <w:rPr>
                <w:rFonts w:cstheme="minorHAnsi"/>
                <w:b/>
                <w:bCs/>
                <w:noProof/>
                <w:szCs w:val="24"/>
                <w:lang w:eastAsia="en-CA"/>
              </w:rPr>
              <w:lastRenderedPageBreak/>
              <w:drawing>
                <wp:inline distT="0" distB="0" distL="0" distR="0" wp14:anchorId="21DAC83B" wp14:editId="6140384D">
                  <wp:extent cx="1095375" cy="752475"/>
                  <wp:effectExtent l="0" t="0" r="9525" b="9525"/>
                  <wp:docPr id="6" name="Picture 6" descr="Queen'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95375" cy="752475"/>
                          </a:xfrm>
                          <a:prstGeom prst="rect">
                            <a:avLst/>
                          </a:prstGeom>
                          <a:noFill/>
                          <a:ln>
                            <a:noFill/>
                          </a:ln>
                        </pic:spPr>
                      </pic:pic>
                    </a:graphicData>
                  </a:graphic>
                </wp:inline>
              </w:drawing>
            </w:r>
          </w:p>
        </w:tc>
        <w:tc>
          <w:tcPr>
            <w:tcW w:w="5592" w:type="dxa"/>
            <w:shd w:val="clear" w:color="auto" w:fill="auto"/>
            <w:vAlign w:val="center"/>
          </w:tcPr>
          <w:p w:rsidR="00457A76" w:rsidRPr="00457A76" w:rsidRDefault="00457A76" w:rsidP="00457A76">
            <w:pPr>
              <w:rPr>
                <w:rFonts w:cstheme="minorHAnsi"/>
                <w:b/>
                <w:szCs w:val="24"/>
              </w:rPr>
            </w:pPr>
            <w:r w:rsidRPr="00457A76">
              <w:rPr>
                <w:rFonts w:cstheme="minorHAnsi"/>
                <w:b/>
                <w:bCs/>
                <w:szCs w:val="24"/>
              </w:rPr>
              <w:t>MANAGING NOTIFICATIONS OF TEMPORARY SERVICE DISRUPTIONS PROCEDURE</w:t>
            </w:r>
          </w:p>
        </w:tc>
      </w:tr>
      <w:tr w:rsidR="00457A76" w:rsidRPr="00457A76" w:rsidTr="00457A76">
        <w:tblPrEx>
          <w:tblCellMar>
            <w:top w:w="57" w:type="dxa"/>
            <w:bottom w:w="57" w:type="dxa"/>
          </w:tblCellMar>
        </w:tblPrEx>
        <w:trPr>
          <w:trHeight w:val="554"/>
          <w:jc w:val="center"/>
        </w:trPr>
        <w:tc>
          <w:tcPr>
            <w:tcW w:w="4142" w:type="dxa"/>
          </w:tcPr>
          <w:p w:rsidR="00457A76" w:rsidRPr="00457A76" w:rsidRDefault="00457A76" w:rsidP="00457A76">
            <w:pPr>
              <w:rPr>
                <w:rFonts w:cstheme="minorHAnsi"/>
                <w:b/>
                <w:szCs w:val="24"/>
                <w:lang w:val="en-US"/>
              </w:rPr>
            </w:pPr>
            <w:r w:rsidRPr="00457A76">
              <w:rPr>
                <w:rFonts w:cstheme="minorHAnsi"/>
                <w:b/>
                <w:szCs w:val="24"/>
                <w:lang w:val="en-US"/>
              </w:rPr>
              <w:t>Contact Officer</w:t>
            </w:r>
          </w:p>
        </w:tc>
        <w:tc>
          <w:tcPr>
            <w:tcW w:w="5592" w:type="dxa"/>
          </w:tcPr>
          <w:p w:rsidR="00457A76" w:rsidRPr="00457A76" w:rsidRDefault="00457A76" w:rsidP="00457A76">
            <w:pPr>
              <w:rPr>
                <w:rFonts w:cstheme="minorHAnsi"/>
                <w:b/>
                <w:szCs w:val="24"/>
                <w:lang w:val="en-AU"/>
              </w:rPr>
            </w:pPr>
            <w:r w:rsidRPr="00457A76">
              <w:rPr>
                <w:rFonts w:cstheme="minorHAnsi"/>
                <w:i/>
                <w:szCs w:val="24"/>
                <w:lang w:val="en-US"/>
              </w:rPr>
              <w:t>Accessibility Coordinator</w:t>
            </w:r>
          </w:p>
        </w:tc>
      </w:tr>
    </w:tbl>
    <w:p w:rsidR="007056C5" w:rsidRDefault="007056C5" w:rsidP="00457A76">
      <w:pPr>
        <w:rPr>
          <w:rFonts w:cstheme="minorHAnsi"/>
          <w:b/>
          <w:szCs w:val="24"/>
        </w:rPr>
      </w:pPr>
    </w:p>
    <w:p w:rsidR="00457A76" w:rsidRPr="00457A76" w:rsidRDefault="00457A76" w:rsidP="006349F2">
      <w:pPr>
        <w:pStyle w:val="Heading1"/>
      </w:pPr>
      <w:r w:rsidRPr="00457A76">
        <w:t>Purpose</w:t>
      </w:r>
    </w:p>
    <w:p w:rsidR="00457A76" w:rsidRPr="00457A76" w:rsidRDefault="00457A76" w:rsidP="00457A76">
      <w:pPr>
        <w:rPr>
          <w:rFonts w:cstheme="minorHAnsi"/>
          <w:szCs w:val="24"/>
        </w:rPr>
      </w:pPr>
      <w:r w:rsidRPr="00457A76">
        <w:rPr>
          <w:rFonts w:cstheme="minorHAnsi"/>
          <w:szCs w:val="24"/>
        </w:rPr>
        <w:t>In accordance with the accessible customer service requirements under the Accessibility for Ontarians with Disabilities Act, 2005, Queen’s University is required to provide notification of temporary disruptions in those facilities or services (in whole or in part) made available for persons with disabilities so that they may obtain, use or benefit from the University’s goods, services, or facilities.</w:t>
      </w:r>
    </w:p>
    <w:p w:rsidR="00457A76" w:rsidRPr="00457A76" w:rsidRDefault="002D365D" w:rsidP="00457A76">
      <w:pPr>
        <w:rPr>
          <w:rFonts w:cstheme="minorHAnsi"/>
          <w:szCs w:val="24"/>
        </w:rPr>
      </w:pPr>
      <w:hyperlink r:id="rId66" w:anchor="BK152" w:history="1">
        <w:r w:rsidR="00457A76" w:rsidRPr="00457A76">
          <w:rPr>
            <w:rStyle w:val="Hyperlink"/>
            <w:rFonts w:cstheme="minorHAnsi"/>
            <w:szCs w:val="24"/>
          </w:rPr>
          <w:t>Ontario Regulation 191/11 of the Accessibility for Ontarians with Disabilities Act, 2005, section 80.48 subsection 1-5 state</w:t>
        </w:r>
      </w:hyperlink>
      <w:r w:rsidR="00457A76" w:rsidRPr="00457A76">
        <w:rPr>
          <w:rFonts w:cstheme="minorHAnsi"/>
          <w:szCs w:val="24"/>
        </w:rPr>
        <w:t>:</w:t>
      </w:r>
    </w:p>
    <w:p w:rsidR="00457A76" w:rsidRPr="00457A76" w:rsidRDefault="00457A76" w:rsidP="00457A76">
      <w:pPr>
        <w:rPr>
          <w:rFonts w:cstheme="minorHAnsi"/>
          <w:szCs w:val="24"/>
        </w:rPr>
      </w:pPr>
      <w:r w:rsidRPr="00457A76">
        <w:rPr>
          <w:rFonts w:cstheme="minorHAnsi"/>
          <w:szCs w:val="24"/>
        </w:rPr>
        <w:t xml:space="preserve">(1) If, in order to obtain, use or benefit from a provider’s goods, services or facilities, persons with disabilities usually use other particular facilities or services of the provider and if there is a temporary disruption in those other facilities or services in whole or in part, the provider shall give notice of the disruption to the public. </w:t>
      </w:r>
    </w:p>
    <w:p w:rsidR="00457A76" w:rsidRPr="00457A76" w:rsidRDefault="00457A76" w:rsidP="00457A76">
      <w:pPr>
        <w:rPr>
          <w:rFonts w:cstheme="minorHAnsi"/>
          <w:szCs w:val="24"/>
        </w:rPr>
      </w:pPr>
      <w:r w:rsidRPr="00457A76">
        <w:rPr>
          <w:rFonts w:cstheme="minorHAnsi"/>
          <w:szCs w:val="24"/>
          <w:lang w:val="en-US"/>
        </w:rPr>
        <w:t>(2)</w:t>
      </w:r>
      <w:r w:rsidRPr="00457A76">
        <w:rPr>
          <w:rFonts w:cstheme="minorHAnsi"/>
          <w:szCs w:val="24"/>
        </w:rPr>
        <w:t xml:space="preserve"> Notice of the disruption must include the reason for the disruption, its anticipated duration and a description of alternative facilities or services, if any, that are available. </w:t>
      </w:r>
    </w:p>
    <w:p w:rsidR="00457A76" w:rsidRPr="00457A76" w:rsidRDefault="00457A76" w:rsidP="00457A76">
      <w:pPr>
        <w:rPr>
          <w:rFonts w:cstheme="minorHAnsi"/>
          <w:szCs w:val="24"/>
        </w:rPr>
      </w:pPr>
      <w:r w:rsidRPr="00457A76">
        <w:rPr>
          <w:rFonts w:cstheme="minorHAnsi"/>
          <w:szCs w:val="24"/>
          <w:lang w:val="en-US"/>
        </w:rPr>
        <w:t>(3)</w:t>
      </w:r>
      <w:r w:rsidRPr="00457A76">
        <w:rPr>
          <w:rFonts w:cstheme="minorHAnsi"/>
          <w:szCs w:val="24"/>
        </w:rPr>
        <w:t xml:space="preserve"> Every provider, other than a small organization, shall prepare a document setting out the steps that the provider will ensure </w:t>
      </w:r>
      <w:proofErr w:type="gramStart"/>
      <w:r w:rsidRPr="00457A76">
        <w:rPr>
          <w:rFonts w:cstheme="minorHAnsi"/>
          <w:szCs w:val="24"/>
        </w:rPr>
        <w:t>are taken</w:t>
      </w:r>
      <w:proofErr w:type="gramEnd"/>
      <w:r w:rsidRPr="00457A76">
        <w:rPr>
          <w:rFonts w:cstheme="minorHAnsi"/>
          <w:szCs w:val="24"/>
        </w:rPr>
        <w:t xml:space="preserve"> in connection with a temporary disruption and, on request, shall give a copy of the document to any person. </w:t>
      </w:r>
    </w:p>
    <w:p w:rsidR="00457A76" w:rsidRPr="00457A76" w:rsidRDefault="00457A76" w:rsidP="00457A76">
      <w:pPr>
        <w:rPr>
          <w:rFonts w:cstheme="minorHAnsi"/>
          <w:szCs w:val="24"/>
        </w:rPr>
      </w:pPr>
      <w:r w:rsidRPr="00457A76">
        <w:rPr>
          <w:rFonts w:cstheme="minorHAnsi"/>
          <w:szCs w:val="24"/>
          <w:lang w:val="en-US"/>
        </w:rPr>
        <w:t>(4)</w:t>
      </w:r>
      <w:r w:rsidRPr="00457A76">
        <w:rPr>
          <w:rFonts w:cstheme="minorHAnsi"/>
          <w:szCs w:val="24"/>
        </w:rPr>
        <w:t xml:space="preserve"> Every provider, other than a small organization, shall notify persons to whom it provides goods, services or facilities that the document required by subsection (3) is available on request. </w:t>
      </w:r>
    </w:p>
    <w:p w:rsidR="00457A76" w:rsidRPr="00457A76" w:rsidRDefault="00457A76" w:rsidP="00457A76">
      <w:pPr>
        <w:rPr>
          <w:rFonts w:cstheme="minorHAnsi"/>
          <w:szCs w:val="24"/>
        </w:rPr>
      </w:pPr>
      <w:r w:rsidRPr="00457A76">
        <w:rPr>
          <w:rFonts w:cstheme="minorHAnsi"/>
          <w:szCs w:val="24"/>
          <w:lang w:val="en-US"/>
        </w:rPr>
        <w:t>(5)</w:t>
      </w:r>
      <w:r w:rsidRPr="00457A76">
        <w:rPr>
          <w:rFonts w:cstheme="minorHAnsi"/>
          <w:szCs w:val="24"/>
        </w:rPr>
        <w:t xml:space="preserve"> The notices required by subsections (2) and (4) may be given by posting the information at a conspicuous place on premises owned or operated by the provider, by posting it on the provider’s website, if any, or by such other method as is reasonable in the circumstances.</w:t>
      </w:r>
    </w:p>
    <w:p w:rsidR="007056C5" w:rsidRDefault="007056C5" w:rsidP="00457A76">
      <w:pPr>
        <w:rPr>
          <w:rFonts w:cstheme="minorHAnsi"/>
          <w:b/>
          <w:szCs w:val="24"/>
        </w:rPr>
      </w:pPr>
    </w:p>
    <w:p w:rsidR="007056C5" w:rsidRDefault="007056C5" w:rsidP="00457A76">
      <w:pPr>
        <w:rPr>
          <w:rFonts w:cstheme="minorHAnsi"/>
          <w:b/>
          <w:szCs w:val="24"/>
        </w:rPr>
      </w:pPr>
    </w:p>
    <w:p w:rsidR="00457A76" w:rsidRPr="00457A76" w:rsidRDefault="00457A76" w:rsidP="006349F2">
      <w:pPr>
        <w:pStyle w:val="Heading1"/>
      </w:pPr>
      <w:r w:rsidRPr="00457A76">
        <w:lastRenderedPageBreak/>
        <w:t>Definitions</w:t>
      </w:r>
    </w:p>
    <w:p w:rsidR="00457A76" w:rsidRPr="00457A76" w:rsidRDefault="00457A76" w:rsidP="00457A76">
      <w:pPr>
        <w:rPr>
          <w:rFonts w:cstheme="minorHAnsi"/>
          <w:szCs w:val="24"/>
        </w:rPr>
      </w:pPr>
      <w:r w:rsidRPr="00457A76">
        <w:rPr>
          <w:rFonts w:cstheme="minorHAnsi"/>
          <w:b/>
          <w:szCs w:val="24"/>
        </w:rPr>
        <w:t>Accessible element</w:t>
      </w:r>
      <w:r w:rsidRPr="00457A76">
        <w:rPr>
          <w:rFonts w:cstheme="minorHAnsi"/>
          <w:szCs w:val="24"/>
        </w:rPr>
        <w:t xml:space="preserve">: An </w:t>
      </w:r>
      <w:r w:rsidRPr="00457A76">
        <w:rPr>
          <w:rFonts w:cstheme="minorHAnsi"/>
          <w:i/>
          <w:iCs/>
          <w:szCs w:val="24"/>
        </w:rPr>
        <w:t>element specified by guidelines and/or standards (</w:t>
      </w:r>
      <w:r w:rsidRPr="00457A76">
        <w:rPr>
          <w:rFonts w:cstheme="minorHAnsi"/>
          <w:szCs w:val="24"/>
        </w:rPr>
        <w:t>for example, telephone, controls, etc.).</w:t>
      </w:r>
      <w:r>
        <w:rPr>
          <w:rFonts w:cstheme="minorHAnsi"/>
          <w:szCs w:val="24"/>
          <w:vertAlign w:val="superscript"/>
        </w:rPr>
        <w:t>1</w:t>
      </w:r>
    </w:p>
    <w:p w:rsidR="00457A76" w:rsidRPr="00457A76" w:rsidRDefault="00457A76" w:rsidP="00457A76">
      <w:pPr>
        <w:rPr>
          <w:rFonts w:cstheme="minorHAnsi"/>
          <w:szCs w:val="24"/>
        </w:rPr>
      </w:pPr>
      <w:r w:rsidRPr="00457A76">
        <w:rPr>
          <w:rFonts w:cstheme="minorHAnsi"/>
          <w:b/>
          <w:szCs w:val="24"/>
        </w:rPr>
        <w:t>Controls</w:t>
      </w:r>
      <w:r w:rsidRPr="00457A76">
        <w:rPr>
          <w:rFonts w:cstheme="minorHAnsi"/>
          <w:szCs w:val="24"/>
        </w:rPr>
        <w:t xml:space="preserve"> are operating mechanisms generally used by staff or public (e.g., light switches and dispenser controls). Exception: Restricted-access controls. </w:t>
      </w:r>
      <w:r w:rsidRPr="00457A76">
        <w:rPr>
          <w:rFonts w:cstheme="minorHAnsi"/>
          <w:szCs w:val="24"/>
          <w:vertAlign w:val="superscript"/>
        </w:rPr>
        <w:t>2</w:t>
      </w:r>
    </w:p>
    <w:p w:rsidR="00457A76" w:rsidRDefault="00457A76" w:rsidP="00457A76">
      <w:pPr>
        <w:rPr>
          <w:rFonts w:cstheme="minorHAnsi"/>
          <w:szCs w:val="24"/>
          <w:vertAlign w:val="superscript"/>
        </w:rPr>
      </w:pPr>
      <w:r w:rsidRPr="00457A76">
        <w:rPr>
          <w:rFonts w:cstheme="minorHAnsi"/>
          <w:b/>
          <w:szCs w:val="24"/>
        </w:rPr>
        <w:t>Element</w:t>
      </w:r>
      <w:r w:rsidRPr="00457A76">
        <w:rPr>
          <w:rFonts w:cstheme="minorHAnsi"/>
          <w:szCs w:val="24"/>
        </w:rPr>
        <w:t>: An architectural or mechanical component of a building, facility, space or site (e.g. telephone, curb ramp, door, drinking fountain, seating or water closet).</w:t>
      </w:r>
      <w:r w:rsidRPr="00457A76">
        <w:rPr>
          <w:rFonts w:cstheme="minorHAnsi"/>
          <w:szCs w:val="24"/>
          <w:vertAlign w:val="superscript"/>
        </w:rPr>
        <w:t xml:space="preserve"> 3</w:t>
      </w:r>
    </w:p>
    <w:p w:rsidR="00457A76" w:rsidRDefault="00457A76" w:rsidP="00457A76">
      <w:pPr>
        <w:rPr>
          <w:rFonts w:cstheme="minorHAnsi"/>
          <w:szCs w:val="24"/>
          <w:vertAlign w:val="superscript"/>
        </w:rPr>
      </w:pPr>
    </w:p>
    <w:p w:rsidR="00457A76" w:rsidRPr="00457A76" w:rsidRDefault="00457A76" w:rsidP="006349F2">
      <w:pPr>
        <w:pStyle w:val="Heading1"/>
      </w:pPr>
      <w:r w:rsidRPr="00457A76">
        <w:t>Maintenance of Accessible Elements in Public Spaces</w:t>
      </w:r>
    </w:p>
    <w:p w:rsidR="00457A76" w:rsidRPr="00457A76" w:rsidRDefault="00457A76" w:rsidP="00457A76">
      <w:pPr>
        <w:rPr>
          <w:rFonts w:cstheme="minorHAnsi"/>
          <w:b/>
          <w:szCs w:val="24"/>
        </w:rPr>
      </w:pPr>
      <w:r w:rsidRPr="00457A76">
        <w:rPr>
          <w:rFonts w:cstheme="minorHAnsi"/>
          <w:b/>
          <w:szCs w:val="24"/>
        </w:rPr>
        <w:t>Facilities and Grounds</w:t>
      </w:r>
    </w:p>
    <w:p w:rsidR="00457A76" w:rsidRPr="00457A76" w:rsidRDefault="00457A76" w:rsidP="00457A76">
      <w:pPr>
        <w:numPr>
          <w:ilvl w:val="0"/>
          <w:numId w:val="38"/>
        </w:numPr>
        <w:rPr>
          <w:rFonts w:cstheme="minorHAnsi"/>
          <w:szCs w:val="24"/>
        </w:rPr>
      </w:pPr>
      <w:r w:rsidRPr="00457A76">
        <w:rPr>
          <w:rFonts w:cstheme="minorHAnsi"/>
          <w:szCs w:val="24"/>
        </w:rPr>
        <w:t>Physical Plant Services (PPS) is responsible for facilities (infrastructure and façade) and grounds.</w:t>
      </w:r>
    </w:p>
    <w:p w:rsidR="00457A76" w:rsidRPr="00457A76" w:rsidRDefault="00457A76" w:rsidP="00457A76">
      <w:pPr>
        <w:rPr>
          <w:rFonts w:cstheme="minorHAnsi"/>
          <w:szCs w:val="24"/>
        </w:rPr>
      </w:pPr>
      <w:r w:rsidRPr="00457A76">
        <w:rPr>
          <w:rFonts w:cstheme="minorHAnsi"/>
          <w:szCs w:val="24"/>
        </w:rPr>
        <w:t>Maintenance requests for these issues should be reported to the FIXIT Desk at ext. 77301. Repairs to keep Queen’s University facilities and services in proper working condition are considered maintenance.</w:t>
      </w:r>
    </w:p>
    <w:p w:rsidR="00457A76" w:rsidRPr="00457A76" w:rsidRDefault="00457A76" w:rsidP="00457A76">
      <w:pPr>
        <w:rPr>
          <w:rFonts w:cstheme="minorHAnsi"/>
          <w:b/>
          <w:szCs w:val="24"/>
        </w:rPr>
      </w:pPr>
      <w:r w:rsidRPr="00457A76">
        <w:rPr>
          <w:rFonts w:cstheme="minorHAnsi"/>
          <w:b/>
          <w:szCs w:val="24"/>
        </w:rPr>
        <w:t>Telephone Repair</w:t>
      </w:r>
    </w:p>
    <w:p w:rsidR="00457A76" w:rsidRPr="00457A76" w:rsidRDefault="00457A76" w:rsidP="00457A76">
      <w:pPr>
        <w:numPr>
          <w:ilvl w:val="0"/>
          <w:numId w:val="38"/>
        </w:numPr>
        <w:rPr>
          <w:rFonts w:cstheme="minorHAnsi"/>
          <w:szCs w:val="24"/>
        </w:rPr>
      </w:pPr>
      <w:r w:rsidRPr="00457A76">
        <w:rPr>
          <w:rFonts w:cstheme="minorHAnsi"/>
          <w:szCs w:val="24"/>
        </w:rPr>
        <w:t xml:space="preserve">For </w:t>
      </w:r>
      <w:proofErr w:type="gramStart"/>
      <w:r w:rsidRPr="00457A76">
        <w:rPr>
          <w:rFonts w:cstheme="minorHAnsi"/>
          <w:szCs w:val="24"/>
        </w:rPr>
        <w:t>telephone service repair requests</w:t>
      </w:r>
      <w:proofErr w:type="gramEnd"/>
      <w:r w:rsidRPr="00457A76">
        <w:rPr>
          <w:rFonts w:cstheme="minorHAnsi"/>
          <w:szCs w:val="24"/>
        </w:rPr>
        <w:t xml:space="preserve">, please fill out the form found here: </w:t>
      </w:r>
      <w:hyperlink r:id="rId67" w:history="1">
        <w:r w:rsidRPr="00457A76">
          <w:rPr>
            <w:rStyle w:val="Hyperlink"/>
            <w:rFonts w:cstheme="minorHAnsi"/>
            <w:szCs w:val="24"/>
          </w:rPr>
          <w:t>https://www.queensu.ca/itrack/ITS/telecom/telrepair.html</w:t>
        </w:r>
      </w:hyperlink>
      <w:r w:rsidRPr="00457A76">
        <w:rPr>
          <w:rFonts w:cstheme="minorHAnsi"/>
          <w:szCs w:val="24"/>
        </w:rPr>
        <w:t>.</w:t>
      </w:r>
    </w:p>
    <w:p w:rsidR="00457A76" w:rsidRPr="00457A76" w:rsidRDefault="00457A76" w:rsidP="00457A76">
      <w:pPr>
        <w:rPr>
          <w:rFonts w:cstheme="minorHAnsi"/>
          <w:b/>
          <w:szCs w:val="24"/>
        </w:rPr>
      </w:pPr>
      <w:r w:rsidRPr="00457A76">
        <w:rPr>
          <w:rFonts w:cstheme="minorHAnsi"/>
          <w:b/>
          <w:szCs w:val="24"/>
        </w:rPr>
        <w:t>Adaptive Technology Centre (ATC)</w:t>
      </w:r>
    </w:p>
    <w:p w:rsidR="00457A76" w:rsidRDefault="00457A76" w:rsidP="00457A76">
      <w:pPr>
        <w:numPr>
          <w:ilvl w:val="0"/>
          <w:numId w:val="38"/>
        </w:numPr>
        <w:rPr>
          <w:rFonts w:cstheme="minorHAnsi"/>
          <w:szCs w:val="24"/>
        </w:rPr>
      </w:pPr>
      <w:r w:rsidRPr="00457A76">
        <w:rPr>
          <w:rFonts w:cstheme="minorHAnsi"/>
          <w:szCs w:val="24"/>
        </w:rPr>
        <w:t xml:space="preserve">Any maintenance or service requests to accessible elements in the ATC may be communicated directly to the ATC Coordinator: </w:t>
      </w:r>
      <w:hyperlink r:id="rId68" w:history="1">
        <w:r w:rsidRPr="00457A76">
          <w:rPr>
            <w:rStyle w:val="Hyperlink"/>
            <w:rFonts w:cstheme="minorHAnsi"/>
            <w:szCs w:val="24"/>
          </w:rPr>
          <w:t>http://queensu.ca/atc/connect</w:t>
        </w:r>
      </w:hyperlink>
    </w:p>
    <w:p w:rsidR="00457A76" w:rsidRDefault="00457A76" w:rsidP="00457A76">
      <w:pPr>
        <w:rPr>
          <w:rFonts w:cstheme="minorHAnsi"/>
          <w:szCs w:val="24"/>
        </w:rPr>
      </w:pPr>
      <w:r>
        <w:rPr>
          <w:rFonts w:cstheme="minorHAnsi"/>
          <w:noProof/>
          <w:szCs w:val="24"/>
          <w:lang w:eastAsia="en-CA"/>
        </w:rPr>
        <mc:AlternateContent>
          <mc:Choice Requires="wps">
            <w:drawing>
              <wp:inline distT="0" distB="0" distL="0" distR="0">
                <wp:extent cx="1762125" cy="9525"/>
                <wp:effectExtent l="0" t="0" r="28575" b="28575"/>
                <wp:docPr id="2" name="Straight Connector 2" descr="line"/>
                <wp:cNvGraphicFramePr/>
                <a:graphic xmlns:a="http://schemas.openxmlformats.org/drawingml/2006/main">
                  <a:graphicData uri="http://schemas.microsoft.com/office/word/2010/wordprocessingShape">
                    <wps:wsp>
                      <wps:cNvCnPr/>
                      <wps:spPr>
                        <a:xfrm flipV="1">
                          <a:off x="0" y="0"/>
                          <a:ext cx="1762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989EEE1" id="Straight Connector 2" o:spid="_x0000_s1026" alt="line" style="flip:y;visibility:visible;mso-wrap-style:square;mso-left-percent:-10001;mso-top-percent:-10001;mso-position-horizontal:absolute;mso-position-horizontal-relative:char;mso-position-vertical:absolute;mso-position-vertical-relative:line;mso-left-percent:-10001;mso-top-percent:-10001" from="0,0" to="13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AYxQEAAN0DAAAOAAAAZHJzL2Uyb0RvYy54bWysU02P0zAQvSPxHyzfaZpIu0DUdA9dLRcE&#10;FQvcvc64seQvjU2T/nvGThoQICHQXizbM+/NvOfx7m6yhp0Bo/au4/Vmyxk46XvtTh3/8vnh1RvO&#10;YhKuF8Y76PgFIr/bv3yxG0MLjR+86QEZkbjYjqHjQ0qhraooB7AibnwAR0Hl0YpERzxVPYqR2K2p&#10;mu32tho99gG9hBjp9n4O8n3hVwpk+qhUhMRMx6m3VFYs61Neq/1OtCcUYdByaUP8RxdWaEdFV6p7&#10;kQT7hvo3Kqsl+uhV2khvK6+UllA0kJp6+4uax0EEKFrInBhWm+Lz0coP5yMy3Xe84cwJS0/0mFDo&#10;05DYwTtHBnpkFOshSvLNaAfZtDHElrAHd8TlFMMRswOTQsuU0eErzUPxhFSyqVh+WS2HKTFJl/Xr&#10;26ZubjiTFHt7Qzuiq2aWzBYwpnfgLcubpXy+F+f3Mc2p1xTC5a7mPsouXQzkZOM+gSKRuV7pqIwX&#10;HAyys6DBEFKCS/VSumRnmNLGrMDt34FLfoZCGb1/Aa+IUtm7tIKtdh7/VD1N15bVnH91YNadLXjy&#10;/aW8ULGGZqiYu8x7HtKfzwX+41fuvwMAAP//AwBQSwMEFAAGAAgAAAAhAL1o0oXYAAAAAwEAAA8A&#10;AABkcnMvZG93bnJldi54bWxMj81OwzAQhO9IfQdrkbhRpxGlVRqnqvpzRhSQOLrxkgTsdWS7bfL2&#10;LFzgMtJqRjPfluvBWXHBEDtPCmbTDARS7U1HjYLXl8P9EkRMmoy2nlDBiBHW1eSm1IXxV3rGyzE1&#10;gksoFlpBm1JfSBnrFp2OU98jsffhg9OJz9BIE/SVy52VeZY9Sqc74oVW97htsf46np2CaJv95/g2&#10;+l1uwrg7xHd8mj0odXc7bFYgEg7pLww/+IwOFTOd/JlMFFYBP5J+lb18sZiDOHFoDrIq5X/26hsA&#10;AP//AwBQSwECLQAUAAYACAAAACEAtoM4kv4AAADhAQAAEwAAAAAAAAAAAAAAAAAAAAAAW0NvbnRl&#10;bnRfVHlwZXNdLnhtbFBLAQItABQABgAIAAAAIQA4/SH/1gAAAJQBAAALAAAAAAAAAAAAAAAAAC8B&#10;AABfcmVscy8ucmVsc1BLAQItABQABgAIAAAAIQAShlAYxQEAAN0DAAAOAAAAAAAAAAAAAAAAAC4C&#10;AABkcnMvZTJvRG9jLnhtbFBLAQItABQABgAIAAAAIQC9aNKF2AAAAAMBAAAPAAAAAAAAAAAAAAAA&#10;AB8EAABkcnMvZG93bnJldi54bWxQSwUGAAAAAAQABADzAAAAJAUAAAAA&#10;" strokecolor="#4579b8 [3044]">
                <w10:anchorlock/>
              </v:line>
            </w:pict>
          </mc:Fallback>
        </mc:AlternateContent>
      </w:r>
    </w:p>
    <w:p w:rsidR="00457A76" w:rsidRDefault="00457A76" w:rsidP="00457A76">
      <w:pPr>
        <w:rPr>
          <w:sz w:val="20"/>
          <w:szCs w:val="20"/>
        </w:rPr>
      </w:pPr>
      <w:r>
        <w:rPr>
          <w:rStyle w:val="FootnoteReference"/>
        </w:rPr>
        <w:footnoteRef/>
      </w:r>
      <w:r>
        <w:t xml:space="preserve"> </w:t>
      </w:r>
      <w:r w:rsidRPr="00BF6429">
        <w:rPr>
          <w:sz w:val="20"/>
          <w:szCs w:val="20"/>
        </w:rPr>
        <w:t>As defined by the Facility Accessibility Design Standards for the City of Kingston s. 2.0, Facility Accessibility Design Standards for Brock University s.2.0 and the Americans with Disability Act of 1990 s. 3.5.</w:t>
      </w:r>
    </w:p>
    <w:p w:rsidR="00457A76" w:rsidRDefault="00457A76" w:rsidP="00457A76">
      <w:pPr>
        <w:rPr>
          <w:bCs/>
          <w:sz w:val="20"/>
          <w:szCs w:val="20"/>
        </w:rPr>
      </w:pPr>
      <w:proofErr w:type="gramStart"/>
      <w:r w:rsidRPr="00D52F4C">
        <w:rPr>
          <w:sz w:val="20"/>
          <w:szCs w:val="20"/>
          <w:vertAlign w:val="superscript"/>
        </w:rPr>
        <w:t>2</w:t>
      </w:r>
      <w:proofErr w:type="gramEnd"/>
      <w:r>
        <w:rPr>
          <w:sz w:val="20"/>
          <w:szCs w:val="20"/>
        </w:rPr>
        <w:t xml:space="preserve"> Derived from </w:t>
      </w:r>
      <w:r w:rsidRPr="00BF6429">
        <w:rPr>
          <w:sz w:val="20"/>
          <w:szCs w:val="20"/>
        </w:rPr>
        <w:t>Facility Accessibility Design Standards for Brock University s.</w:t>
      </w:r>
      <w:r>
        <w:rPr>
          <w:bCs/>
          <w:sz w:val="20"/>
          <w:szCs w:val="20"/>
        </w:rPr>
        <w:t>4.4.2 Controls a</w:t>
      </w:r>
      <w:r w:rsidRPr="004732CC">
        <w:rPr>
          <w:bCs/>
          <w:sz w:val="20"/>
          <w:szCs w:val="20"/>
        </w:rPr>
        <w:t>nd Operating Mechanisms</w:t>
      </w:r>
    </w:p>
    <w:p w:rsidR="00457A76" w:rsidRDefault="00457A76" w:rsidP="00457A76">
      <w:pPr>
        <w:rPr>
          <w:sz w:val="20"/>
          <w:szCs w:val="20"/>
        </w:rPr>
      </w:pPr>
      <w:r w:rsidRPr="00D52F4C">
        <w:rPr>
          <w:bCs/>
          <w:sz w:val="20"/>
          <w:szCs w:val="20"/>
          <w:vertAlign w:val="superscript"/>
        </w:rPr>
        <w:t>3</w:t>
      </w:r>
      <w:r>
        <w:rPr>
          <w:bCs/>
          <w:sz w:val="20"/>
          <w:szCs w:val="20"/>
        </w:rPr>
        <w:t xml:space="preserve"> </w:t>
      </w:r>
      <w:r w:rsidRPr="00BF6429">
        <w:rPr>
          <w:sz w:val="20"/>
          <w:szCs w:val="20"/>
        </w:rPr>
        <w:t>As defined by the Facility Accessibility Design Standards for the City of Kingston s. 2.0, Facility Accessibility Design Standards for Brock University s.2.0 and the Americans with Disability Act of 1990 s. 3.5.</w:t>
      </w:r>
    </w:p>
    <w:p w:rsidR="00457A76" w:rsidRPr="00457A76" w:rsidRDefault="00457A76" w:rsidP="00457A76">
      <w:pPr>
        <w:rPr>
          <w:rFonts w:cstheme="minorHAnsi"/>
          <w:szCs w:val="24"/>
        </w:rPr>
      </w:pPr>
    </w:p>
    <w:p w:rsidR="00457A76" w:rsidRDefault="00457A76" w:rsidP="00457A76">
      <w:pPr>
        <w:rPr>
          <w:rFonts w:cstheme="minorHAnsi"/>
          <w:b/>
          <w:i/>
          <w:szCs w:val="24"/>
        </w:rPr>
      </w:pPr>
    </w:p>
    <w:p w:rsidR="00457A76" w:rsidRPr="00457A76" w:rsidRDefault="00457A76" w:rsidP="006349F2">
      <w:pPr>
        <w:pStyle w:val="Heading2"/>
      </w:pPr>
      <w:r w:rsidRPr="00457A76">
        <w:lastRenderedPageBreak/>
        <w:t>Notice of Temporary Service Disruption</w:t>
      </w:r>
    </w:p>
    <w:p w:rsidR="00457A76" w:rsidRPr="00457A76" w:rsidRDefault="00457A76" w:rsidP="00457A76">
      <w:pPr>
        <w:rPr>
          <w:rFonts w:cstheme="minorHAnsi"/>
          <w:szCs w:val="24"/>
        </w:rPr>
      </w:pPr>
      <w:r w:rsidRPr="00457A76">
        <w:rPr>
          <w:rFonts w:cstheme="minorHAnsi"/>
          <w:szCs w:val="24"/>
        </w:rPr>
        <w:t>Maintenance to any accessible element will require a ‘Notice of Temporary Service Disruption’ if the element or control is contained within a Facility and Service subject to the procedure outlined below.</w:t>
      </w:r>
    </w:p>
    <w:p w:rsidR="00457A76" w:rsidRPr="00457A76" w:rsidRDefault="00457A76" w:rsidP="006349F2">
      <w:pPr>
        <w:pStyle w:val="Heading1"/>
      </w:pPr>
      <w:r w:rsidRPr="00457A76">
        <w:t>Facilities and Services Subject to ‘Managing Notifications of Temporary Service Disruptions Procedure’</w:t>
      </w:r>
      <w:r w:rsidRPr="00457A76" w:rsidDel="00197703">
        <w:t xml:space="preserve"> </w:t>
      </w:r>
    </w:p>
    <w:p w:rsidR="00457A76" w:rsidRPr="00457A76" w:rsidRDefault="00457A76" w:rsidP="00457A76">
      <w:pPr>
        <w:rPr>
          <w:rFonts w:cstheme="minorHAnsi"/>
          <w:szCs w:val="24"/>
        </w:rPr>
      </w:pPr>
      <w:r w:rsidRPr="00457A76">
        <w:rPr>
          <w:rFonts w:cstheme="minorHAnsi"/>
          <w:szCs w:val="24"/>
        </w:rPr>
        <w:t>The University identifies the following facilities and services as being subject to the requirement for notification of temporary disruptions:</w:t>
      </w:r>
    </w:p>
    <w:p w:rsidR="00457A76" w:rsidRPr="00457A76" w:rsidRDefault="00457A76" w:rsidP="00457A76">
      <w:pPr>
        <w:numPr>
          <w:ilvl w:val="0"/>
          <w:numId w:val="35"/>
        </w:numPr>
        <w:rPr>
          <w:rFonts w:cstheme="minorHAnsi"/>
          <w:szCs w:val="24"/>
        </w:rPr>
      </w:pPr>
      <w:r w:rsidRPr="00457A76">
        <w:rPr>
          <w:rFonts w:cstheme="minorHAnsi"/>
          <w:szCs w:val="24"/>
        </w:rPr>
        <w:t>Accessible lift mechanisms</w:t>
      </w:r>
    </w:p>
    <w:p w:rsidR="00457A76" w:rsidRPr="00457A76" w:rsidRDefault="00457A76" w:rsidP="00457A76">
      <w:pPr>
        <w:numPr>
          <w:ilvl w:val="0"/>
          <w:numId w:val="35"/>
        </w:numPr>
        <w:rPr>
          <w:rFonts w:cstheme="minorHAnsi"/>
          <w:szCs w:val="24"/>
        </w:rPr>
      </w:pPr>
      <w:r w:rsidRPr="00457A76">
        <w:rPr>
          <w:rFonts w:cstheme="minorHAnsi"/>
          <w:szCs w:val="24"/>
        </w:rPr>
        <w:t>Accessible parking</w:t>
      </w:r>
    </w:p>
    <w:p w:rsidR="00457A76" w:rsidRPr="00457A76" w:rsidRDefault="00457A76" w:rsidP="00457A76">
      <w:pPr>
        <w:numPr>
          <w:ilvl w:val="0"/>
          <w:numId w:val="35"/>
        </w:numPr>
        <w:rPr>
          <w:rFonts w:cstheme="minorHAnsi"/>
          <w:szCs w:val="24"/>
        </w:rPr>
      </w:pPr>
      <w:r w:rsidRPr="00457A76">
        <w:rPr>
          <w:rFonts w:cstheme="minorHAnsi"/>
          <w:szCs w:val="24"/>
        </w:rPr>
        <w:t>Accessible pathways</w:t>
      </w:r>
    </w:p>
    <w:p w:rsidR="00457A76" w:rsidRPr="00457A76" w:rsidRDefault="00457A76" w:rsidP="00457A76">
      <w:pPr>
        <w:numPr>
          <w:ilvl w:val="0"/>
          <w:numId w:val="35"/>
        </w:numPr>
        <w:rPr>
          <w:rFonts w:cstheme="minorHAnsi"/>
          <w:szCs w:val="24"/>
        </w:rPr>
      </w:pPr>
      <w:r w:rsidRPr="00457A76">
        <w:rPr>
          <w:rFonts w:cstheme="minorHAnsi"/>
          <w:szCs w:val="24"/>
        </w:rPr>
        <w:t>Accessible ramped entrances</w:t>
      </w:r>
    </w:p>
    <w:p w:rsidR="00457A76" w:rsidRPr="00457A76" w:rsidRDefault="00457A76" w:rsidP="00457A76">
      <w:pPr>
        <w:numPr>
          <w:ilvl w:val="0"/>
          <w:numId w:val="35"/>
        </w:numPr>
        <w:rPr>
          <w:rFonts w:cstheme="minorHAnsi"/>
          <w:szCs w:val="24"/>
        </w:rPr>
      </w:pPr>
      <w:r w:rsidRPr="00457A76">
        <w:rPr>
          <w:rFonts w:cstheme="minorHAnsi"/>
          <w:szCs w:val="24"/>
        </w:rPr>
        <w:t>Accessible washrooms</w:t>
      </w:r>
    </w:p>
    <w:p w:rsidR="00457A76" w:rsidRPr="00457A76" w:rsidRDefault="00457A76" w:rsidP="00457A76">
      <w:pPr>
        <w:numPr>
          <w:ilvl w:val="0"/>
          <w:numId w:val="35"/>
        </w:numPr>
        <w:rPr>
          <w:rFonts w:cstheme="minorHAnsi"/>
          <w:szCs w:val="24"/>
        </w:rPr>
      </w:pPr>
      <w:r w:rsidRPr="00457A76">
        <w:rPr>
          <w:rFonts w:cstheme="minorHAnsi"/>
          <w:szCs w:val="24"/>
        </w:rPr>
        <w:t xml:space="preserve">Adaptive computer and other technology made available through the Adaptive Technology Centre </w:t>
      </w:r>
    </w:p>
    <w:p w:rsidR="00457A76" w:rsidRPr="00457A76" w:rsidRDefault="00457A76" w:rsidP="00457A76">
      <w:pPr>
        <w:numPr>
          <w:ilvl w:val="0"/>
          <w:numId w:val="35"/>
        </w:numPr>
        <w:rPr>
          <w:rFonts w:cstheme="minorHAnsi"/>
          <w:szCs w:val="24"/>
        </w:rPr>
      </w:pPr>
      <w:r w:rsidRPr="00457A76">
        <w:rPr>
          <w:rFonts w:cstheme="minorHAnsi"/>
          <w:szCs w:val="24"/>
        </w:rPr>
        <w:t>Power door openers to public entrances</w:t>
      </w:r>
    </w:p>
    <w:p w:rsidR="00457A76" w:rsidRPr="00457A76" w:rsidRDefault="00457A76" w:rsidP="00457A76">
      <w:pPr>
        <w:numPr>
          <w:ilvl w:val="0"/>
          <w:numId w:val="35"/>
        </w:numPr>
        <w:rPr>
          <w:rFonts w:cstheme="minorHAnsi"/>
          <w:szCs w:val="24"/>
        </w:rPr>
      </w:pPr>
      <w:r w:rsidRPr="00457A76">
        <w:rPr>
          <w:rFonts w:cstheme="minorHAnsi"/>
          <w:szCs w:val="24"/>
        </w:rPr>
        <w:t>Public Elevators</w:t>
      </w:r>
    </w:p>
    <w:p w:rsidR="00457A76" w:rsidRPr="00457A76" w:rsidRDefault="00457A76" w:rsidP="00457A76">
      <w:pPr>
        <w:rPr>
          <w:rFonts w:cstheme="minorHAnsi"/>
          <w:szCs w:val="24"/>
        </w:rPr>
      </w:pPr>
      <w:r w:rsidRPr="00457A76">
        <w:rPr>
          <w:rFonts w:cstheme="minorHAnsi"/>
          <w:szCs w:val="24"/>
        </w:rPr>
        <w:t>The University recognizes that if additional facilities or services become available in the future for use by persons with disabilities so that they may obtain, use or benefit from its goods or services, this list will be updated accordingly.</w:t>
      </w:r>
    </w:p>
    <w:p w:rsidR="00457A76" w:rsidRPr="00457A76" w:rsidRDefault="00457A76" w:rsidP="006349F2">
      <w:pPr>
        <w:pStyle w:val="Heading1"/>
      </w:pPr>
      <w:r w:rsidRPr="00457A76">
        <w:t>Procedure for Temporary Disruptions with Physical Accessibility Facilities and Services: Door openers, Elevators, Lifts, Pathways, Ramps and Washrooms</w:t>
      </w:r>
    </w:p>
    <w:tbl>
      <w:tblPr>
        <w:tblStyle w:val="TableGrid"/>
        <w:tblW w:w="9720" w:type="dxa"/>
        <w:tblInd w:w="-185" w:type="dxa"/>
        <w:tblLook w:val="04A0" w:firstRow="1" w:lastRow="0" w:firstColumn="1" w:lastColumn="0" w:noHBand="0" w:noVBand="1"/>
        <w:tblDescription w:val="Actual procedure with responsible person, the step number, and detail."/>
      </w:tblPr>
      <w:tblGrid>
        <w:gridCol w:w="3150"/>
        <w:gridCol w:w="903"/>
        <w:gridCol w:w="5667"/>
      </w:tblGrid>
      <w:tr w:rsidR="00457A76" w:rsidRPr="00457A76" w:rsidTr="00457A76">
        <w:trPr>
          <w:tblHeader/>
        </w:trPr>
        <w:tc>
          <w:tcPr>
            <w:tcW w:w="3301" w:type="dxa"/>
          </w:tcPr>
          <w:p w:rsidR="00457A76" w:rsidRPr="00457A76" w:rsidRDefault="00457A76" w:rsidP="00457A76">
            <w:pPr>
              <w:spacing w:after="200" w:line="276" w:lineRule="auto"/>
              <w:rPr>
                <w:rFonts w:cstheme="minorHAnsi"/>
                <w:b/>
                <w:szCs w:val="24"/>
              </w:rPr>
            </w:pPr>
            <w:r w:rsidRPr="00457A76">
              <w:rPr>
                <w:rFonts w:cstheme="minorHAnsi"/>
                <w:b/>
                <w:szCs w:val="24"/>
              </w:rPr>
              <w:t>Responsible Officer/Section</w:t>
            </w:r>
          </w:p>
        </w:tc>
        <w:tc>
          <w:tcPr>
            <w:tcW w:w="929" w:type="dxa"/>
          </w:tcPr>
          <w:p w:rsidR="00457A76" w:rsidRPr="00457A76" w:rsidRDefault="00457A76" w:rsidP="00457A76">
            <w:pPr>
              <w:spacing w:after="200" w:line="276" w:lineRule="auto"/>
              <w:rPr>
                <w:rFonts w:cstheme="minorHAnsi"/>
                <w:b/>
                <w:szCs w:val="24"/>
              </w:rPr>
            </w:pPr>
            <w:r w:rsidRPr="00457A76">
              <w:rPr>
                <w:rFonts w:cstheme="minorHAnsi"/>
                <w:b/>
                <w:szCs w:val="24"/>
              </w:rPr>
              <w:t>Step</w:t>
            </w:r>
          </w:p>
        </w:tc>
        <w:tc>
          <w:tcPr>
            <w:tcW w:w="5490" w:type="dxa"/>
          </w:tcPr>
          <w:p w:rsidR="00457A76" w:rsidRPr="00457A76" w:rsidRDefault="00457A76" w:rsidP="007056C5">
            <w:pPr>
              <w:spacing w:after="200" w:line="276" w:lineRule="auto"/>
              <w:rPr>
                <w:rFonts w:cstheme="minorHAnsi"/>
                <w:b/>
                <w:szCs w:val="24"/>
              </w:rPr>
            </w:pPr>
            <w:r w:rsidRPr="00457A76">
              <w:rPr>
                <w:rFonts w:cstheme="minorHAnsi"/>
                <w:b/>
                <w:szCs w:val="24"/>
              </w:rPr>
              <w:t>Details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 xml:space="preserve">Department Heads or their designates </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1</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 xml:space="preserve">Notify FIXIT in Physical Plant Services so they become aware of any disruptions to these physical accessibility services or facilities within their area. </w:t>
            </w:r>
          </w:p>
          <w:p w:rsidR="00457A76" w:rsidRPr="00457A76" w:rsidRDefault="00457A76" w:rsidP="00457A76">
            <w:pPr>
              <w:spacing w:after="200" w:line="276" w:lineRule="auto"/>
              <w:rPr>
                <w:rFonts w:cstheme="minorHAnsi"/>
                <w:szCs w:val="24"/>
              </w:rPr>
            </w:pPr>
            <w:r w:rsidRPr="00457A76">
              <w:rPr>
                <w:rFonts w:cstheme="minorHAnsi"/>
                <w:szCs w:val="24"/>
              </w:rPr>
              <w:t xml:space="preserve">FIXIT may be reached by phone at 613-533-6757 (Campus, 77301) or by email at </w:t>
            </w:r>
            <w:hyperlink r:id="rId69" w:history="1">
              <w:r w:rsidRPr="00457A76">
                <w:rPr>
                  <w:rStyle w:val="Hyperlink"/>
                  <w:rFonts w:cstheme="minorHAnsi"/>
                  <w:szCs w:val="24"/>
                </w:rPr>
                <w:t>fixit@queensu.ca</w:t>
              </w:r>
            </w:hyperlink>
            <w:r w:rsidRPr="00457A76">
              <w:rPr>
                <w:rFonts w:cstheme="minorHAnsi"/>
                <w:szCs w:val="24"/>
                <w:u w:val="single"/>
              </w:rPr>
              <w:t xml:space="preserve"> .</w:t>
            </w:r>
            <w:r w:rsidRPr="00457A76">
              <w:rPr>
                <w:rFonts w:cstheme="minorHAnsi"/>
                <w:szCs w:val="24"/>
              </w:rPr>
              <w:t xml:space="preserve"> </w:t>
            </w:r>
          </w:p>
          <w:p w:rsidR="00457A76" w:rsidRPr="00457A76" w:rsidRDefault="00457A76" w:rsidP="00457A76">
            <w:pPr>
              <w:spacing w:after="200" w:line="276" w:lineRule="auto"/>
              <w:rPr>
                <w:rFonts w:cstheme="minorHAnsi"/>
                <w:szCs w:val="24"/>
              </w:rPr>
            </w:pPr>
          </w:p>
          <w:p w:rsidR="00457A76" w:rsidRPr="00457A76" w:rsidRDefault="00457A76" w:rsidP="00457A76">
            <w:pPr>
              <w:spacing w:after="200" w:line="276" w:lineRule="auto"/>
              <w:rPr>
                <w:rFonts w:cstheme="minorHAnsi"/>
                <w:szCs w:val="24"/>
              </w:rPr>
            </w:pPr>
            <w:r w:rsidRPr="00457A76">
              <w:rPr>
                <w:rFonts w:cstheme="minorHAnsi"/>
                <w:szCs w:val="24"/>
              </w:rPr>
              <w:t xml:space="preserve">To report issues after 4 pm or on weekends, individuals may contact the Emergency Report Centre at 613-533-6080 (extension 36080 on campus) or email Campus Security at </w:t>
            </w:r>
            <w:hyperlink r:id="rId70" w:history="1">
              <w:r w:rsidRPr="00457A76">
                <w:rPr>
                  <w:rStyle w:val="Hyperlink"/>
                  <w:rFonts w:cstheme="minorHAnsi"/>
                  <w:szCs w:val="24"/>
                </w:rPr>
                <w:t>Campus.Security@queensu.ca</w:t>
              </w:r>
            </w:hyperlink>
            <w:r w:rsidRPr="00457A76">
              <w:rPr>
                <w:rFonts w:cstheme="minorHAnsi"/>
                <w:szCs w:val="24"/>
              </w:rPr>
              <w:t xml:space="preserve">. </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lastRenderedPageBreak/>
              <w:t>Physical Plant Services (PPS)/</w:t>
            </w:r>
            <w:proofErr w:type="spellStart"/>
            <w:r w:rsidRPr="00457A76">
              <w:rPr>
                <w:rFonts w:cstheme="minorHAnsi"/>
                <w:szCs w:val="24"/>
              </w:rPr>
              <w:t>FixIt</w:t>
            </w:r>
            <w:proofErr w:type="spellEnd"/>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2</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If PPS/</w:t>
            </w:r>
            <w:proofErr w:type="spellStart"/>
            <w:r w:rsidRPr="00457A76">
              <w:rPr>
                <w:rFonts w:cstheme="minorHAnsi"/>
                <w:szCs w:val="24"/>
              </w:rPr>
              <w:t>FixIt</w:t>
            </w:r>
            <w:proofErr w:type="spellEnd"/>
            <w:r w:rsidRPr="00457A76">
              <w:rPr>
                <w:rFonts w:cstheme="minorHAnsi"/>
                <w:szCs w:val="24"/>
              </w:rPr>
              <w:t xml:space="preserve"> staff report the issue internally, a notification will be issued if the interruption will extend for more than 24 hours.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Faculty, staff, students and visitors, Queen’s University</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3</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Inform the University about service disruptions in any of the above listed accessibility facilities or services. They may do this by contacting PPS/</w:t>
            </w:r>
            <w:proofErr w:type="spellStart"/>
            <w:r w:rsidRPr="00457A76">
              <w:rPr>
                <w:rFonts w:cstheme="minorHAnsi"/>
                <w:szCs w:val="24"/>
              </w:rPr>
              <w:t>FixIt</w:t>
            </w:r>
            <w:proofErr w:type="spellEnd"/>
            <w:r w:rsidRPr="00457A76">
              <w:rPr>
                <w:rFonts w:cstheme="minorHAnsi"/>
                <w:szCs w:val="24"/>
              </w:rPr>
              <w:t xml:space="preserve"> or by using the University’s Accessibility Feedback Online Form, available at: </w:t>
            </w:r>
            <w:hyperlink r:id="rId71" w:history="1">
              <w:r w:rsidRPr="00457A76">
                <w:rPr>
                  <w:rStyle w:val="Hyperlink"/>
                  <w:rFonts w:cstheme="minorHAnsi"/>
                  <w:szCs w:val="24"/>
                </w:rPr>
                <w:t>https://www.queensu.ca/forms/accessibility/customer-service-accessibility-feedback</w:t>
              </w:r>
            </w:hyperlink>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Physical Plant Services (PPS)/</w:t>
            </w:r>
            <w:proofErr w:type="spellStart"/>
            <w:r w:rsidRPr="00457A76">
              <w:rPr>
                <w:rFonts w:cstheme="minorHAnsi"/>
                <w:szCs w:val="24"/>
              </w:rPr>
              <w:t>FixIt</w:t>
            </w:r>
            <w:proofErr w:type="spellEnd"/>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4</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Receives notifications concerning disruptions to physical accessibility of facilities or services.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Physical Plant Services (PPS)/</w:t>
            </w:r>
            <w:proofErr w:type="spellStart"/>
            <w:r w:rsidRPr="00457A76">
              <w:rPr>
                <w:rFonts w:cstheme="minorHAnsi"/>
                <w:szCs w:val="24"/>
              </w:rPr>
              <w:t>FixIt</w:t>
            </w:r>
            <w:proofErr w:type="spellEnd"/>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5</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Assign responsibility for assessing the situation and respond accordingly when receiving notifications concerning disruptions to physical accessibility of facilities or services.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Physical Plant Services (PPS)/</w:t>
            </w:r>
            <w:proofErr w:type="spellStart"/>
            <w:r w:rsidRPr="00457A76">
              <w:rPr>
                <w:rFonts w:cstheme="minorHAnsi"/>
                <w:szCs w:val="24"/>
              </w:rPr>
              <w:t>FixIt</w:t>
            </w:r>
            <w:proofErr w:type="spellEnd"/>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6</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 xml:space="preserve">Assess each disruption and determine if a Notification of Temporary Disruption is required. Any disruption to these services or facilities expected to last longer than 24 hours will require a </w:t>
            </w:r>
            <w:r w:rsidRPr="00457A76">
              <w:rPr>
                <w:rFonts w:cstheme="minorHAnsi"/>
                <w:b/>
                <w:szCs w:val="24"/>
              </w:rPr>
              <w:t>Notification of Temporary Disruption.</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Physical Plant Services (PPS)/</w:t>
            </w:r>
            <w:proofErr w:type="spellStart"/>
            <w:r w:rsidRPr="00457A76">
              <w:rPr>
                <w:rFonts w:cstheme="minorHAnsi"/>
                <w:szCs w:val="24"/>
              </w:rPr>
              <w:t>FixIt</w:t>
            </w:r>
            <w:proofErr w:type="spellEnd"/>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7</w:t>
            </w:r>
          </w:p>
        </w:tc>
        <w:tc>
          <w:tcPr>
            <w:tcW w:w="5490" w:type="dxa"/>
          </w:tcPr>
          <w:p w:rsidR="00457A76" w:rsidRPr="00457A76" w:rsidRDefault="00457A76" w:rsidP="00457A76">
            <w:pPr>
              <w:spacing w:after="200" w:line="276" w:lineRule="auto"/>
              <w:rPr>
                <w:rFonts w:cstheme="minorHAnsi"/>
                <w:b/>
                <w:bCs/>
                <w:szCs w:val="24"/>
              </w:rPr>
            </w:pPr>
            <w:r w:rsidRPr="00457A76">
              <w:rPr>
                <w:rFonts w:cstheme="minorHAnsi"/>
                <w:b/>
                <w:bCs/>
                <w:szCs w:val="24"/>
              </w:rPr>
              <w:t>When a Notice of Temporary Disruption is required it must include:</w:t>
            </w:r>
          </w:p>
          <w:p w:rsidR="00457A76" w:rsidRPr="00457A76" w:rsidRDefault="00457A76" w:rsidP="00457A76">
            <w:pPr>
              <w:numPr>
                <w:ilvl w:val="0"/>
                <w:numId w:val="36"/>
              </w:numPr>
              <w:spacing w:after="200" w:line="276" w:lineRule="auto"/>
              <w:rPr>
                <w:rFonts w:cstheme="minorHAnsi"/>
                <w:szCs w:val="24"/>
              </w:rPr>
            </w:pPr>
            <w:r w:rsidRPr="00457A76">
              <w:rPr>
                <w:rFonts w:cstheme="minorHAnsi"/>
                <w:szCs w:val="24"/>
              </w:rPr>
              <w:t>Reason for disruption</w:t>
            </w:r>
          </w:p>
          <w:p w:rsidR="00457A76" w:rsidRPr="00457A76" w:rsidRDefault="00457A76" w:rsidP="00457A76">
            <w:pPr>
              <w:numPr>
                <w:ilvl w:val="0"/>
                <w:numId w:val="36"/>
              </w:numPr>
              <w:spacing w:after="200" w:line="276" w:lineRule="auto"/>
              <w:rPr>
                <w:rFonts w:cstheme="minorHAnsi"/>
                <w:szCs w:val="24"/>
              </w:rPr>
            </w:pPr>
            <w:r w:rsidRPr="00457A76">
              <w:rPr>
                <w:rFonts w:cstheme="minorHAnsi"/>
                <w:szCs w:val="24"/>
              </w:rPr>
              <w:t xml:space="preserve">Date and Time FIXIT assessed the disruption; </w:t>
            </w:r>
          </w:p>
          <w:p w:rsidR="00457A76" w:rsidRPr="00457A76" w:rsidRDefault="00457A76" w:rsidP="00457A76">
            <w:pPr>
              <w:numPr>
                <w:ilvl w:val="0"/>
                <w:numId w:val="36"/>
              </w:numPr>
              <w:spacing w:after="200" w:line="276" w:lineRule="auto"/>
              <w:rPr>
                <w:rFonts w:cstheme="minorHAnsi"/>
                <w:szCs w:val="24"/>
              </w:rPr>
            </w:pPr>
            <w:r w:rsidRPr="00457A76">
              <w:rPr>
                <w:rFonts w:cstheme="minorHAnsi"/>
                <w:szCs w:val="24"/>
              </w:rPr>
              <w:t xml:space="preserve">Name of the facility or service; </w:t>
            </w:r>
          </w:p>
          <w:p w:rsidR="00457A76" w:rsidRPr="00457A76" w:rsidRDefault="00457A76" w:rsidP="00457A76">
            <w:pPr>
              <w:numPr>
                <w:ilvl w:val="0"/>
                <w:numId w:val="36"/>
              </w:numPr>
              <w:spacing w:after="200" w:line="276" w:lineRule="auto"/>
              <w:rPr>
                <w:rFonts w:cstheme="minorHAnsi"/>
                <w:szCs w:val="24"/>
              </w:rPr>
            </w:pPr>
            <w:r w:rsidRPr="00457A76">
              <w:rPr>
                <w:rFonts w:cstheme="minorHAnsi"/>
                <w:szCs w:val="24"/>
              </w:rPr>
              <w:lastRenderedPageBreak/>
              <w:t>Alternate accessible facilities or services, if available;</w:t>
            </w:r>
          </w:p>
          <w:p w:rsidR="00457A76" w:rsidRPr="00457A76" w:rsidRDefault="00457A76" w:rsidP="00457A76">
            <w:pPr>
              <w:numPr>
                <w:ilvl w:val="0"/>
                <w:numId w:val="36"/>
              </w:numPr>
              <w:spacing w:after="200" w:line="276" w:lineRule="auto"/>
              <w:rPr>
                <w:rFonts w:cstheme="minorHAnsi"/>
                <w:szCs w:val="24"/>
              </w:rPr>
            </w:pPr>
            <w:r w:rsidRPr="00457A76">
              <w:rPr>
                <w:rFonts w:cstheme="minorHAnsi"/>
                <w:szCs w:val="24"/>
              </w:rPr>
              <w:t>Anticipated duration of disruption. Disruption extending beyond the anticipated duration will be communicated through an updated notification on the date the original notification expires;</w:t>
            </w:r>
          </w:p>
          <w:p w:rsidR="00457A76" w:rsidRPr="00457A76" w:rsidRDefault="00457A76" w:rsidP="00457A76">
            <w:pPr>
              <w:numPr>
                <w:ilvl w:val="0"/>
                <w:numId w:val="36"/>
              </w:numPr>
              <w:spacing w:after="200" w:line="276" w:lineRule="auto"/>
              <w:rPr>
                <w:rFonts w:cstheme="minorHAnsi"/>
                <w:szCs w:val="24"/>
              </w:rPr>
            </w:pPr>
            <w:r w:rsidRPr="00457A76">
              <w:rPr>
                <w:rFonts w:cstheme="minorHAnsi"/>
                <w:szCs w:val="24"/>
              </w:rPr>
              <w:t>Contact Information for more information.</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lastRenderedPageBreak/>
              <w:t>Physical Plant Services (PPS)/</w:t>
            </w:r>
            <w:proofErr w:type="spellStart"/>
            <w:r w:rsidRPr="00457A76">
              <w:rPr>
                <w:rFonts w:cstheme="minorHAnsi"/>
                <w:szCs w:val="24"/>
              </w:rPr>
              <w:t>FixIt</w:t>
            </w:r>
            <w:proofErr w:type="spellEnd"/>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8</w:t>
            </w:r>
          </w:p>
        </w:tc>
        <w:tc>
          <w:tcPr>
            <w:tcW w:w="5490" w:type="dxa"/>
          </w:tcPr>
          <w:p w:rsidR="00457A76" w:rsidRPr="00457A76" w:rsidRDefault="00457A76" w:rsidP="00457A76">
            <w:pPr>
              <w:spacing w:after="200" w:line="276" w:lineRule="auto"/>
              <w:rPr>
                <w:rFonts w:cstheme="minorHAnsi"/>
                <w:bCs/>
                <w:szCs w:val="24"/>
              </w:rPr>
            </w:pPr>
            <w:r w:rsidRPr="00457A76">
              <w:rPr>
                <w:rFonts w:cstheme="minorHAnsi"/>
                <w:bCs/>
                <w:szCs w:val="24"/>
              </w:rPr>
              <w:t xml:space="preserve">Post any required </w:t>
            </w:r>
            <w:r w:rsidRPr="00457A76">
              <w:rPr>
                <w:rFonts w:cstheme="minorHAnsi"/>
                <w:b/>
                <w:szCs w:val="24"/>
              </w:rPr>
              <w:t>Notification of Temporary Disruption.</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Physical Plant Services (PPS)/</w:t>
            </w:r>
            <w:proofErr w:type="spellStart"/>
            <w:r w:rsidRPr="00457A76">
              <w:rPr>
                <w:rFonts w:cstheme="minorHAnsi"/>
                <w:szCs w:val="24"/>
              </w:rPr>
              <w:t>FixIt</w:t>
            </w:r>
            <w:proofErr w:type="spellEnd"/>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9</w:t>
            </w:r>
          </w:p>
        </w:tc>
        <w:tc>
          <w:tcPr>
            <w:tcW w:w="5490" w:type="dxa"/>
          </w:tcPr>
          <w:p w:rsidR="00457A76" w:rsidRPr="00457A76" w:rsidRDefault="00457A76" w:rsidP="00457A76">
            <w:pPr>
              <w:spacing w:after="200" w:line="276" w:lineRule="auto"/>
              <w:rPr>
                <w:rFonts w:cstheme="minorHAnsi"/>
                <w:bCs/>
                <w:szCs w:val="24"/>
              </w:rPr>
            </w:pPr>
            <w:r w:rsidRPr="00457A76">
              <w:rPr>
                <w:rFonts w:cstheme="minorHAnsi"/>
                <w:b/>
                <w:bCs/>
                <w:szCs w:val="24"/>
              </w:rPr>
              <w:t xml:space="preserve">Notifications </w:t>
            </w:r>
            <w:r w:rsidRPr="00457A76">
              <w:rPr>
                <w:rFonts w:cstheme="minorHAnsi"/>
                <w:b/>
                <w:szCs w:val="24"/>
              </w:rPr>
              <w:t xml:space="preserve">of Temporary Disruption </w:t>
            </w:r>
            <w:r w:rsidRPr="00457A76">
              <w:rPr>
                <w:rFonts w:cstheme="minorHAnsi"/>
                <w:bCs/>
                <w:szCs w:val="24"/>
              </w:rPr>
              <w:t>will be posted as follows:</w:t>
            </w:r>
          </w:p>
          <w:p w:rsidR="00457A76" w:rsidRPr="00457A76" w:rsidRDefault="00457A76" w:rsidP="00457A76">
            <w:pPr>
              <w:numPr>
                <w:ilvl w:val="0"/>
                <w:numId w:val="37"/>
              </w:numPr>
              <w:spacing w:after="200" w:line="276" w:lineRule="auto"/>
              <w:rPr>
                <w:rFonts w:cstheme="minorHAnsi"/>
                <w:bCs/>
                <w:szCs w:val="24"/>
              </w:rPr>
            </w:pPr>
            <w:r w:rsidRPr="00457A76">
              <w:rPr>
                <w:rFonts w:cstheme="minorHAnsi"/>
                <w:bCs/>
                <w:szCs w:val="24"/>
              </w:rPr>
              <w:t>Temporary sign posted in a conspicuous, logical location near the facility or device. Examples include over an elevator button, on the power door opener button, near the entrance of a ramp, near the operating button of a lift.</w:t>
            </w:r>
          </w:p>
          <w:p w:rsidR="00457A76" w:rsidRPr="00457A76" w:rsidRDefault="00457A76" w:rsidP="00457A76">
            <w:pPr>
              <w:spacing w:after="200" w:line="276" w:lineRule="auto"/>
              <w:rPr>
                <w:rFonts w:cstheme="minorHAnsi"/>
                <w:bCs/>
                <w:szCs w:val="24"/>
              </w:rPr>
            </w:pPr>
          </w:p>
          <w:p w:rsidR="00457A76" w:rsidRPr="00457A76" w:rsidRDefault="00457A76" w:rsidP="00457A76">
            <w:pPr>
              <w:numPr>
                <w:ilvl w:val="0"/>
                <w:numId w:val="37"/>
              </w:numPr>
              <w:spacing w:after="200" w:line="276" w:lineRule="auto"/>
              <w:rPr>
                <w:rFonts w:cstheme="minorHAnsi"/>
                <w:bCs/>
                <w:szCs w:val="24"/>
              </w:rPr>
            </w:pPr>
            <w:r w:rsidRPr="00457A76">
              <w:rPr>
                <w:rFonts w:cstheme="minorHAnsi"/>
                <w:bCs/>
                <w:szCs w:val="24"/>
              </w:rPr>
              <w:t>Temporary signs posted as appropriate throughout the building, elevators, particularly near the building’s main entrance and all accessible entrances;</w:t>
            </w:r>
          </w:p>
          <w:p w:rsidR="00457A76" w:rsidRPr="00457A76" w:rsidRDefault="00457A76" w:rsidP="00457A76">
            <w:pPr>
              <w:spacing w:after="200" w:line="276" w:lineRule="auto"/>
              <w:rPr>
                <w:rFonts w:cstheme="minorHAnsi"/>
                <w:bCs/>
                <w:szCs w:val="24"/>
              </w:rPr>
            </w:pPr>
          </w:p>
          <w:p w:rsidR="00457A76" w:rsidRPr="00457A76" w:rsidRDefault="00457A76" w:rsidP="00457A76">
            <w:pPr>
              <w:numPr>
                <w:ilvl w:val="0"/>
                <w:numId w:val="37"/>
              </w:numPr>
              <w:spacing w:after="200" w:line="276" w:lineRule="auto"/>
              <w:rPr>
                <w:rFonts w:cstheme="minorHAnsi"/>
                <w:bCs/>
                <w:szCs w:val="24"/>
              </w:rPr>
            </w:pPr>
            <w:r w:rsidRPr="00457A76">
              <w:rPr>
                <w:rFonts w:cstheme="minorHAnsi"/>
                <w:bCs/>
                <w:szCs w:val="24"/>
              </w:rPr>
              <w:t>Notifications will be emailed to Queen’s Student Accessibility Services, Campus Security, Environmental Health &amp; Safety, the Accessibility Hub, and the Editor of the ‘Gazette’ or designate;</w:t>
            </w:r>
          </w:p>
          <w:p w:rsidR="00457A76" w:rsidRPr="00457A76" w:rsidRDefault="00457A76" w:rsidP="00457A76">
            <w:pPr>
              <w:spacing w:after="200" w:line="276" w:lineRule="auto"/>
              <w:rPr>
                <w:rFonts w:cstheme="minorHAnsi"/>
                <w:bCs/>
                <w:szCs w:val="24"/>
              </w:rPr>
            </w:pPr>
          </w:p>
          <w:p w:rsidR="00457A76" w:rsidRPr="00457A76" w:rsidRDefault="00457A76" w:rsidP="00457A76">
            <w:pPr>
              <w:numPr>
                <w:ilvl w:val="0"/>
                <w:numId w:val="37"/>
              </w:numPr>
              <w:spacing w:after="200" w:line="276" w:lineRule="auto"/>
              <w:rPr>
                <w:rFonts w:cstheme="minorHAnsi"/>
                <w:szCs w:val="24"/>
              </w:rPr>
            </w:pPr>
            <w:r w:rsidRPr="00457A76">
              <w:rPr>
                <w:rFonts w:cstheme="minorHAnsi"/>
                <w:szCs w:val="24"/>
              </w:rPr>
              <w:lastRenderedPageBreak/>
              <w:t xml:space="preserve"> Notifications will also be issued to the list serve for the affected building, so the information may be circulated to occupants.</w:t>
            </w:r>
          </w:p>
          <w:p w:rsidR="00457A76" w:rsidRPr="00457A76" w:rsidRDefault="00457A76" w:rsidP="00457A76">
            <w:pPr>
              <w:spacing w:after="200" w:line="276" w:lineRule="auto"/>
              <w:rPr>
                <w:rFonts w:cstheme="minorHAnsi"/>
                <w:bCs/>
                <w:szCs w:val="24"/>
              </w:rPr>
            </w:pPr>
          </w:p>
          <w:p w:rsidR="00457A76" w:rsidRPr="00457A76" w:rsidRDefault="00457A76" w:rsidP="00457A76">
            <w:pPr>
              <w:spacing w:after="200" w:line="276" w:lineRule="auto"/>
              <w:rPr>
                <w:rFonts w:cstheme="minorHAnsi"/>
                <w:bCs/>
                <w:szCs w:val="24"/>
              </w:rPr>
            </w:pP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lastRenderedPageBreak/>
              <w:t>The Gazette Editor</w:t>
            </w:r>
          </w:p>
        </w:tc>
        <w:tc>
          <w:tcPr>
            <w:tcW w:w="929" w:type="dxa"/>
          </w:tcPr>
          <w:p w:rsidR="00457A76" w:rsidRPr="00457A76" w:rsidDel="005E72C1" w:rsidRDefault="00457A76" w:rsidP="00457A76">
            <w:pPr>
              <w:spacing w:after="200" w:line="276" w:lineRule="auto"/>
              <w:rPr>
                <w:rFonts w:cstheme="minorHAnsi"/>
                <w:szCs w:val="24"/>
              </w:rPr>
            </w:pPr>
            <w:r w:rsidRPr="00457A76">
              <w:rPr>
                <w:rFonts w:cstheme="minorHAnsi"/>
                <w:szCs w:val="24"/>
              </w:rPr>
              <w:t>10</w:t>
            </w:r>
          </w:p>
        </w:tc>
        <w:tc>
          <w:tcPr>
            <w:tcW w:w="5490" w:type="dxa"/>
          </w:tcPr>
          <w:p w:rsidR="00457A76" w:rsidRPr="00457A76" w:rsidRDefault="00457A76" w:rsidP="00457A76">
            <w:pPr>
              <w:spacing w:after="200" w:line="276" w:lineRule="auto"/>
              <w:rPr>
                <w:rFonts w:cstheme="minorHAnsi"/>
                <w:bCs/>
                <w:szCs w:val="24"/>
              </w:rPr>
            </w:pPr>
            <w:r w:rsidRPr="00457A76">
              <w:rPr>
                <w:rFonts w:cstheme="minorHAnsi"/>
                <w:bCs/>
                <w:szCs w:val="24"/>
              </w:rPr>
              <w:t xml:space="preserve">Ensure notification are posted on the ‘Campus Updates’ webpage: </w:t>
            </w:r>
            <w:hyperlink r:id="rId72" w:history="1">
              <w:r w:rsidRPr="00457A76">
                <w:rPr>
                  <w:rStyle w:val="Hyperlink"/>
                  <w:rFonts w:cstheme="minorHAnsi"/>
                  <w:bCs/>
                  <w:szCs w:val="24"/>
                </w:rPr>
                <w:t>http://www.queensu.ca/gazette/campusupdates</w:t>
              </w:r>
            </w:hyperlink>
            <w:r w:rsidRPr="00457A76">
              <w:rPr>
                <w:rFonts w:cstheme="minorHAnsi"/>
                <w:bCs/>
                <w:szCs w:val="24"/>
              </w:rPr>
              <w:t xml:space="preserve">. These notifications will also automatically appear on </w:t>
            </w:r>
            <w:hyperlink r:id="rId73" w:history="1">
              <w:r w:rsidRPr="00457A76">
                <w:rPr>
                  <w:rStyle w:val="Hyperlink"/>
                  <w:rFonts w:cstheme="minorHAnsi"/>
                  <w:bCs/>
                  <w:szCs w:val="24"/>
                </w:rPr>
                <w:t>my.queensu.ca</w:t>
              </w:r>
            </w:hyperlink>
            <w:r w:rsidRPr="00457A76">
              <w:rPr>
                <w:rFonts w:cstheme="minorHAnsi"/>
                <w:bCs/>
                <w:szCs w:val="24"/>
              </w:rPr>
              <w:t>.</w:t>
            </w:r>
          </w:p>
        </w:tc>
      </w:tr>
    </w:tbl>
    <w:p w:rsidR="00457A76" w:rsidRPr="00457A76" w:rsidRDefault="00457A76" w:rsidP="00457A76">
      <w:pPr>
        <w:rPr>
          <w:rFonts w:cstheme="minorHAnsi"/>
          <w:szCs w:val="24"/>
        </w:rPr>
      </w:pPr>
    </w:p>
    <w:p w:rsidR="00457A76" w:rsidRPr="00457A76" w:rsidRDefault="00457A76" w:rsidP="006349F2">
      <w:pPr>
        <w:pStyle w:val="Heading1"/>
      </w:pPr>
      <w:r w:rsidRPr="00457A76">
        <w:t>Procedure for Temporary Disruptions with Accessible Parking</w:t>
      </w:r>
    </w:p>
    <w:tbl>
      <w:tblPr>
        <w:tblStyle w:val="TableGrid"/>
        <w:tblW w:w="9720" w:type="dxa"/>
        <w:tblInd w:w="-185" w:type="dxa"/>
        <w:tblLook w:val="04A0" w:firstRow="1" w:lastRow="0" w:firstColumn="1" w:lastColumn="0" w:noHBand="0" w:noVBand="1"/>
        <w:tblDescription w:val="Procedure for Temporary Disruptions with Accessible Parking. Information includes responsible officer/section, step, and details."/>
      </w:tblPr>
      <w:tblGrid>
        <w:gridCol w:w="3150"/>
        <w:gridCol w:w="903"/>
        <w:gridCol w:w="5667"/>
      </w:tblGrid>
      <w:tr w:rsidR="00457A76" w:rsidRPr="00457A76" w:rsidTr="00457A76">
        <w:trPr>
          <w:tblHeader/>
        </w:trPr>
        <w:tc>
          <w:tcPr>
            <w:tcW w:w="3301" w:type="dxa"/>
          </w:tcPr>
          <w:p w:rsidR="00457A76" w:rsidRPr="00457A76" w:rsidRDefault="00457A76" w:rsidP="00457A76">
            <w:pPr>
              <w:spacing w:after="200" w:line="276" w:lineRule="auto"/>
              <w:rPr>
                <w:rFonts w:cstheme="minorHAnsi"/>
                <w:b/>
                <w:szCs w:val="24"/>
              </w:rPr>
            </w:pPr>
            <w:r w:rsidRPr="00457A76">
              <w:rPr>
                <w:rFonts w:cstheme="minorHAnsi"/>
                <w:b/>
                <w:szCs w:val="24"/>
              </w:rPr>
              <w:t>Responsible Officer/Section</w:t>
            </w:r>
          </w:p>
        </w:tc>
        <w:tc>
          <w:tcPr>
            <w:tcW w:w="929" w:type="dxa"/>
          </w:tcPr>
          <w:p w:rsidR="00457A76" w:rsidRPr="00457A76" w:rsidRDefault="00457A76" w:rsidP="00457A76">
            <w:pPr>
              <w:spacing w:after="200" w:line="276" w:lineRule="auto"/>
              <w:rPr>
                <w:rFonts w:cstheme="minorHAnsi"/>
                <w:b/>
                <w:szCs w:val="24"/>
              </w:rPr>
            </w:pPr>
            <w:r w:rsidRPr="00457A76">
              <w:rPr>
                <w:rFonts w:cstheme="minorHAnsi"/>
                <w:b/>
                <w:szCs w:val="24"/>
              </w:rPr>
              <w:t>Step</w:t>
            </w:r>
          </w:p>
        </w:tc>
        <w:tc>
          <w:tcPr>
            <w:tcW w:w="5490" w:type="dxa"/>
          </w:tcPr>
          <w:p w:rsidR="00457A76" w:rsidRPr="00457A76" w:rsidRDefault="00457A76" w:rsidP="007056C5">
            <w:pPr>
              <w:spacing w:after="200" w:line="276" w:lineRule="auto"/>
              <w:rPr>
                <w:rFonts w:cstheme="minorHAnsi"/>
                <w:b/>
                <w:szCs w:val="24"/>
              </w:rPr>
            </w:pPr>
            <w:r w:rsidRPr="00457A76">
              <w:rPr>
                <w:rFonts w:cstheme="minorHAnsi"/>
                <w:b/>
                <w:szCs w:val="24"/>
              </w:rPr>
              <w:t>Details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Parking Office</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1</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Responsible for managing accessible parking on all of its parking lots and  any University-owned streets (e.g. Bader Lane, Fifth Field Company Lane, Founders Way, West Campus Lane and Water Tower Lane)</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Parking Office</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2</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 xml:space="preserve">Responsible for receiving notifications in disruptions to its accessible parking spots. The Parking Office can be reached by phone at 613-533-6979 or by email at </w:t>
            </w:r>
            <w:hyperlink r:id="rId74" w:history="1">
              <w:r w:rsidRPr="00457A76">
                <w:rPr>
                  <w:rStyle w:val="Hyperlink"/>
                  <w:rFonts w:cstheme="minorHAnsi"/>
                  <w:szCs w:val="24"/>
                </w:rPr>
                <w:t>parking@queensu.ca</w:t>
              </w:r>
            </w:hyperlink>
            <w:r w:rsidRPr="00457A76">
              <w:rPr>
                <w:rFonts w:cstheme="minorHAnsi"/>
                <w:szCs w:val="24"/>
              </w:rPr>
              <w:t xml:space="preserve"> . Give disruptions to accessible parking priority attention.</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Faculty, staff, students and visitors, Queen’s University</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3</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 xml:space="preserve">Inform the University about accessibility parking concerns at Queen’s by using the University’s Accessibility Feedback Online Form, available at:  </w:t>
            </w:r>
            <w:hyperlink r:id="rId75" w:history="1">
              <w:r w:rsidRPr="00457A76">
                <w:rPr>
                  <w:rStyle w:val="Hyperlink"/>
                  <w:rFonts w:cstheme="minorHAnsi"/>
                  <w:szCs w:val="24"/>
                </w:rPr>
                <w:t>https://www.queensu.ca/forms/accessibility/customer-service-accessibility-feedback</w:t>
              </w:r>
            </w:hyperlink>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Parking Office</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4</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Retain a listing of University community members holding accessible parking permits.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Parking Office</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5</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 xml:space="preserve">In the event of a disruption in service for an assigned accessible parking spot lasting for more than 24 hours, </w:t>
            </w:r>
            <w:r w:rsidRPr="00457A76">
              <w:rPr>
                <w:rFonts w:cstheme="minorHAnsi"/>
                <w:szCs w:val="24"/>
              </w:rPr>
              <w:lastRenderedPageBreak/>
              <w:t>the Parking Office, where possible, will assign an alternative accessible parking spot to the registered user until the disruption is resolved.</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lastRenderedPageBreak/>
              <w:t>Parking Office</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6</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 xml:space="preserve">In the event of a complete closure of a parking lot, the Parking Office will inform registered users of the disruption and arrange for alternate accessible parking locations. When necessary, alternate arrangements will include reclaiming, and temporarily designating as accessible, existing spots in other parking lots. </w:t>
            </w:r>
          </w:p>
          <w:p w:rsidR="00457A76" w:rsidRPr="00457A76" w:rsidRDefault="00457A76" w:rsidP="00457A76">
            <w:pPr>
              <w:spacing w:after="200" w:line="276" w:lineRule="auto"/>
              <w:rPr>
                <w:rFonts w:cstheme="minorHAnsi"/>
                <w:szCs w:val="24"/>
              </w:rPr>
            </w:pP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Parking Office</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7</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 xml:space="preserve">In assessing any disruption to accessible parking, the Parking Office will provide notifications of disruption as deemed necessary, following the same procedure as outlined in the </w:t>
            </w:r>
            <w:r w:rsidRPr="00457A76">
              <w:rPr>
                <w:rFonts w:cstheme="minorHAnsi"/>
                <w:b/>
                <w:bCs/>
                <w:szCs w:val="24"/>
              </w:rPr>
              <w:t>Notice of Temporary Disruption</w:t>
            </w:r>
            <w:r w:rsidRPr="00457A76">
              <w:rPr>
                <w:rFonts w:cstheme="minorHAnsi"/>
                <w:szCs w:val="24"/>
              </w:rPr>
              <w:t xml:space="preserve"> procedure above.</w:t>
            </w:r>
          </w:p>
        </w:tc>
      </w:tr>
    </w:tbl>
    <w:p w:rsidR="00457A76" w:rsidRPr="00457A76" w:rsidRDefault="00457A76" w:rsidP="00457A76">
      <w:pPr>
        <w:rPr>
          <w:rFonts w:cstheme="minorHAnsi"/>
          <w:szCs w:val="24"/>
        </w:rPr>
      </w:pPr>
    </w:p>
    <w:p w:rsidR="00457A76" w:rsidRPr="00457A76" w:rsidRDefault="00457A76" w:rsidP="006349F2">
      <w:pPr>
        <w:pStyle w:val="Heading1"/>
      </w:pPr>
      <w:r w:rsidRPr="00457A76">
        <w:t>Procedure for Temporary Disruptions with Accessible Parking due to Snow and Ice</w:t>
      </w:r>
    </w:p>
    <w:tbl>
      <w:tblPr>
        <w:tblStyle w:val="TableGrid"/>
        <w:tblW w:w="9720" w:type="dxa"/>
        <w:tblInd w:w="-185" w:type="dxa"/>
        <w:tblLook w:val="04A0" w:firstRow="1" w:lastRow="0" w:firstColumn="1" w:lastColumn="0" w:noHBand="0" w:noVBand="1"/>
        <w:tblDescription w:val="Procedure for Temporary Disruptions due to snow and ice. Information includes responsible officer/section, step, and details."/>
      </w:tblPr>
      <w:tblGrid>
        <w:gridCol w:w="3301"/>
        <w:gridCol w:w="929"/>
        <w:gridCol w:w="5490"/>
      </w:tblGrid>
      <w:tr w:rsidR="00457A76" w:rsidRPr="00457A76" w:rsidTr="00457A76">
        <w:trPr>
          <w:tblHeader/>
        </w:trPr>
        <w:tc>
          <w:tcPr>
            <w:tcW w:w="3301" w:type="dxa"/>
          </w:tcPr>
          <w:p w:rsidR="00457A76" w:rsidRPr="00457A76" w:rsidRDefault="00457A76" w:rsidP="00457A76">
            <w:pPr>
              <w:spacing w:after="200" w:line="276" w:lineRule="auto"/>
              <w:rPr>
                <w:rFonts w:cstheme="minorHAnsi"/>
                <w:b/>
                <w:szCs w:val="24"/>
              </w:rPr>
            </w:pPr>
            <w:r w:rsidRPr="00457A76">
              <w:rPr>
                <w:rFonts w:cstheme="minorHAnsi"/>
                <w:b/>
                <w:szCs w:val="24"/>
              </w:rPr>
              <w:t>Responsible Officer/Section</w:t>
            </w:r>
          </w:p>
        </w:tc>
        <w:tc>
          <w:tcPr>
            <w:tcW w:w="929" w:type="dxa"/>
          </w:tcPr>
          <w:p w:rsidR="00457A76" w:rsidRPr="00457A76" w:rsidRDefault="00457A76" w:rsidP="00457A76">
            <w:pPr>
              <w:spacing w:after="200" w:line="276" w:lineRule="auto"/>
              <w:rPr>
                <w:rFonts w:cstheme="minorHAnsi"/>
                <w:b/>
                <w:szCs w:val="24"/>
              </w:rPr>
            </w:pPr>
            <w:r w:rsidRPr="00457A76">
              <w:rPr>
                <w:rFonts w:cstheme="minorHAnsi"/>
                <w:b/>
                <w:szCs w:val="24"/>
              </w:rPr>
              <w:t>Step</w:t>
            </w:r>
          </w:p>
        </w:tc>
        <w:tc>
          <w:tcPr>
            <w:tcW w:w="5490" w:type="dxa"/>
          </w:tcPr>
          <w:p w:rsidR="00457A76" w:rsidRPr="00457A76" w:rsidRDefault="00457A76" w:rsidP="007056C5">
            <w:pPr>
              <w:spacing w:after="200" w:line="276" w:lineRule="auto"/>
              <w:rPr>
                <w:rFonts w:cstheme="minorHAnsi"/>
                <w:b/>
                <w:szCs w:val="24"/>
              </w:rPr>
            </w:pPr>
            <w:r w:rsidRPr="00457A76">
              <w:rPr>
                <w:rFonts w:cstheme="minorHAnsi"/>
                <w:b/>
                <w:szCs w:val="24"/>
              </w:rPr>
              <w:t>Details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Parking Office</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1</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Inform contractual snow removal companies that accessible parking spots are a priority in the snow removal plan. Provide each contractual snow removal company with a Campus Map identifying the location of accessible parking spots.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Parking Office</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2</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Inform contractual snow removal companies that they are not permitted to pile snow in accessible parking spots, even on a temporary basis.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Parking Office</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3</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Meet with the contractual snow removal companies and Queen’s staff, as necessary, immediately after the first snowfall of the year to review the process and correct any issues.</w:t>
            </w:r>
          </w:p>
        </w:tc>
      </w:tr>
    </w:tbl>
    <w:p w:rsidR="00457A76" w:rsidRPr="00457A76" w:rsidRDefault="00457A76" w:rsidP="006349F2">
      <w:pPr>
        <w:pStyle w:val="Heading1"/>
      </w:pPr>
      <w:r w:rsidRPr="00457A76">
        <w:lastRenderedPageBreak/>
        <w:t>Procedure for Temporary Disruptions to adaptive computers and technology – Adaptive Technology Centre</w:t>
      </w:r>
    </w:p>
    <w:tbl>
      <w:tblPr>
        <w:tblStyle w:val="TableGrid"/>
        <w:tblW w:w="9720" w:type="dxa"/>
        <w:tblInd w:w="-185" w:type="dxa"/>
        <w:tblLook w:val="04A0" w:firstRow="1" w:lastRow="0" w:firstColumn="1" w:lastColumn="0" w:noHBand="0" w:noVBand="1"/>
        <w:tblDescription w:val="Procedure for Temporary Disruptions due to adaptive computers and technology. Information includes responsible officer/section, step, and details."/>
      </w:tblPr>
      <w:tblGrid>
        <w:gridCol w:w="3301"/>
        <w:gridCol w:w="929"/>
        <w:gridCol w:w="5490"/>
      </w:tblGrid>
      <w:tr w:rsidR="00457A76" w:rsidRPr="00457A76" w:rsidTr="00457A76">
        <w:trPr>
          <w:tblHeader/>
        </w:trPr>
        <w:tc>
          <w:tcPr>
            <w:tcW w:w="3301" w:type="dxa"/>
          </w:tcPr>
          <w:p w:rsidR="00457A76" w:rsidRPr="00457A76" w:rsidRDefault="00457A76" w:rsidP="00457A76">
            <w:pPr>
              <w:spacing w:after="200" w:line="276" w:lineRule="auto"/>
              <w:rPr>
                <w:rFonts w:cstheme="minorHAnsi"/>
                <w:b/>
                <w:szCs w:val="24"/>
              </w:rPr>
            </w:pPr>
            <w:r w:rsidRPr="00457A76">
              <w:rPr>
                <w:rFonts w:cstheme="minorHAnsi"/>
                <w:b/>
                <w:szCs w:val="24"/>
              </w:rPr>
              <w:t>Responsible Officer/Section</w:t>
            </w:r>
          </w:p>
        </w:tc>
        <w:tc>
          <w:tcPr>
            <w:tcW w:w="929" w:type="dxa"/>
          </w:tcPr>
          <w:p w:rsidR="00457A76" w:rsidRPr="00457A76" w:rsidRDefault="00457A76" w:rsidP="00457A76">
            <w:pPr>
              <w:spacing w:after="200" w:line="276" w:lineRule="auto"/>
              <w:rPr>
                <w:rFonts w:cstheme="minorHAnsi"/>
                <w:b/>
                <w:szCs w:val="24"/>
              </w:rPr>
            </w:pPr>
            <w:r w:rsidRPr="00457A76">
              <w:rPr>
                <w:rFonts w:cstheme="minorHAnsi"/>
                <w:b/>
                <w:szCs w:val="24"/>
              </w:rPr>
              <w:t>Step</w:t>
            </w:r>
          </w:p>
        </w:tc>
        <w:tc>
          <w:tcPr>
            <w:tcW w:w="5490" w:type="dxa"/>
          </w:tcPr>
          <w:p w:rsidR="00457A76" w:rsidRPr="00457A76" w:rsidRDefault="00457A76" w:rsidP="007056C5">
            <w:pPr>
              <w:spacing w:after="200" w:line="276" w:lineRule="auto"/>
              <w:rPr>
                <w:rFonts w:cstheme="minorHAnsi"/>
                <w:b/>
                <w:szCs w:val="24"/>
              </w:rPr>
            </w:pPr>
            <w:r w:rsidRPr="00457A76">
              <w:rPr>
                <w:rFonts w:cstheme="minorHAnsi"/>
                <w:b/>
                <w:szCs w:val="24"/>
              </w:rPr>
              <w:t>Details</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Adaptive Technology Centre Coordinator</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1</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Temporary sign posted in a conspicuous, logical location (e.g. directly on or adjacent to the equipment)</w:t>
            </w:r>
          </w:p>
          <w:p w:rsidR="00457A76" w:rsidRPr="00457A76" w:rsidRDefault="00457A76" w:rsidP="00457A76">
            <w:pPr>
              <w:spacing w:after="200" w:line="276" w:lineRule="auto"/>
              <w:rPr>
                <w:rFonts w:cstheme="minorHAnsi"/>
                <w:szCs w:val="24"/>
              </w:rPr>
            </w:pPr>
            <w:r w:rsidRPr="00457A76">
              <w:rPr>
                <w:rFonts w:cstheme="minorHAnsi"/>
                <w:szCs w:val="24"/>
              </w:rPr>
              <w:t xml:space="preserve"> </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Adaptive Technology Centre Coordinator</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2</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 xml:space="preserve">Notification on the website of the Adaptive Technology Centre (ATC). This page is linked to the website of Queen’s Student Accessibility Service (QSAS) and the Accessibility Hub. </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Adaptive Technology Centre Coordinator</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3</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General message to the Student-</w:t>
            </w:r>
            <w:r w:rsidRPr="00457A76" w:rsidDel="007310F8">
              <w:rPr>
                <w:rFonts w:cstheme="minorHAnsi"/>
                <w:szCs w:val="24"/>
              </w:rPr>
              <w:t xml:space="preserve"> </w:t>
            </w:r>
            <w:r w:rsidRPr="00457A76">
              <w:rPr>
                <w:rFonts w:cstheme="minorHAnsi"/>
                <w:szCs w:val="24"/>
              </w:rPr>
              <w:t>listserv, if appropriate</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Adaptive Technology Centre Coordinator</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4</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 xml:space="preserve">A complete closure of the ATC must be published on the Queen’s Library home page. Notification on the University’s home page, as determined and communicated by the Coordinator or designate to the Electronic Communications Manager in Marketing and Communication. </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Adaptive Technology Centre Coordinator</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5</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During power outages and/or computer server interruptions, the ATC Coordinator or designate will post a notification on the door to the computer lab.</w:t>
            </w:r>
          </w:p>
        </w:tc>
      </w:tr>
      <w:tr w:rsidR="00457A76" w:rsidRPr="00457A76" w:rsidTr="00457A76">
        <w:tc>
          <w:tcPr>
            <w:tcW w:w="3301" w:type="dxa"/>
          </w:tcPr>
          <w:p w:rsidR="00457A76" w:rsidRPr="00457A76" w:rsidRDefault="00457A76" w:rsidP="00457A76">
            <w:pPr>
              <w:spacing w:after="200" w:line="276" w:lineRule="auto"/>
              <w:rPr>
                <w:rFonts w:cstheme="minorHAnsi"/>
                <w:szCs w:val="24"/>
              </w:rPr>
            </w:pPr>
            <w:r w:rsidRPr="00457A76">
              <w:rPr>
                <w:rFonts w:cstheme="minorHAnsi"/>
                <w:szCs w:val="24"/>
              </w:rPr>
              <w:t>Adaptive Technology Centre Coordinator</w:t>
            </w:r>
          </w:p>
        </w:tc>
        <w:tc>
          <w:tcPr>
            <w:tcW w:w="929" w:type="dxa"/>
          </w:tcPr>
          <w:p w:rsidR="00457A76" w:rsidRPr="00457A76" w:rsidRDefault="00457A76" w:rsidP="00457A76">
            <w:pPr>
              <w:spacing w:after="200" w:line="276" w:lineRule="auto"/>
              <w:rPr>
                <w:rFonts w:cstheme="minorHAnsi"/>
                <w:szCs w:val="24"/>
              </w:rPr>
            </w:pPr>
            <w:r w:rsidRPr="00457A76">
              <w:rPr>
                <w:rFonts w:cstheme="minorHAnsi"/>
                <w:szCs w:val="24"/>
              </w:rPr>
              <w:t>6</w:t>
            </w:r>
          </w:p>
        </w:tc>
        <w:tc>
          <w:tcPr>
            <w:tcW w:w="5490" w:type="dxa"/>
          </w:tcPr>
          <w:p w:rsidR="00457A76" w:rsidRPr="00457A76" w:rsidRDefault="00457A76" w:rsidP="00457A76">
            <w:pPr>
              <w:spacing w:after="200" w:line="276" w:lineRule="auto"/>
              <w:rPr>
                <w:rFonts w:cstheme="minorHAnsi"/>
                <w:szCs w:val="24"/>
              </w:rPr>
            </w:pPr>
            <w:r w:rsidRPr="00457A76">
              <w:rPr>
                <w:rFonts w:cstheme="minorHAnsi"/>
                <w:szCs w:val="24"/>
              </w:rPr>
              <w:t>The Coordinator or designate will also take steps to alert users as they arrive at the Adaptive Technology Centre of any disruptions to services or facilities.</w:t>
            </w:r>
          </w:p>
        </w:tc>
      </w:tr>
    </w:tbl>
    <w:p w:rsidR="00457A76" w:rsidRPr="00457A76" w:rsidRDefault="00457A76" w:rsidP="00457A76">
      <w:pPr>
        <w:rPr>
          <w:rFonts w:cstheme="minorHAnsi"/>
          <w:szCs w:val="24"/>
        </w:rPr>
      </w:pPr>
    </w:p>
    <w:p w:rsidR="00457A76" w:rsidRPr="00457A76" w:rsidRDefault="00457A76" w:rsidP="00457A76">
      <w:pPr>
        <w:rPr>
          <w:rFonts w:cstheme="minorHAnsi"/>
          <w:szCs w:val="24"/>
        </w:rPr>
      </w:pPr>
    </w:p>
    <w:tbl>
      <w:tblPr>
        <w:tblW w:w="5245"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CellMar>
          <w:top w:w="28" w:type="dxa"/>
          <w:left w:w="28" w:type="dxa"/>
          <w:bottom w:w="28" w:type="dxa"/>
          <w:right w:w="28" w:type="dxa"/>
        </w:tblCellMar>
        <w:tblLook w:val="01E0" w:firstRow="1" w:lastRow="1" w:firstColumn="1" w:lastColumn="1" w:noHBand="0" w:noVBand="0"/>
      </w:tblPr>
      <w:tblGrid>
        <w:gridCol w:w="3311"/>
        <w:gridCol w:w="7101"/>
      </w:tblGrid>
      <w:tr w:rsidR="00457A76" w:rsidRPr="00457A76" w:rsidTr="00457A76">
        <w:trPr>
          <w:trHeight w:val="275"/>
          <w:tblHeader/>
          <w:jc w:val="center"/>
        </w:trPr>
        <w:tc>
          <w:tcPr>
            <w:tcW w:w="2969" w:type="dxa"/>
            <w:shd w:val="clear" w:color="auto" w:fill="auto"/>
          </w:tcPr>
          <w:p w:rsidR="00457A76" w:rsidRPr="00457A76" w:rsidRDefault="00457A76" w:rsidP="00457A76">
            <w:pPr>
              <w:rPr>
                <w:rFonts w:cstheme="minorHAnsi"/>
                <w:szCs w:val="24"/>
              </w:rPr>
            </w:pPr>
            <w:r w:rsidRPr="00457A76">
              <w:rPr>
                <w:rFonts w:cstheme="minorHAnsi"/>
                <w:b/>
                <w:szCs w:val="24"/>
              </w:rPr>
              <w:lastRenderedPageBreak/>
              <w:t>Date Approved</w:t>
            </w:r>
          </w:p>
        </w:tc>
        <w:tc>
          <w:tcPr>
            <w:tcW w:w="6368" w:type="dxa"/>
            <w:shd w:val="clear" w:color="auto" w:fill="FFFFFF"/>
          </w:tcPr>
          <w:p w:rsidR="00457A76" w:rsidRPr="00457A76" w:rsidRDefault="00457A76" w:rsidP="00457A76">
            <w:pPr>
              <w:rPr>
                <w:rFonts w:cstheme="minorHAnsi"/>
                <w:i/>
                <w:szCs w:val="24"/>
              </w:rPr>
            </w:pPr>
            <w:r w:rsidRPr="00457A76">
              <w:rPr>
                <w:rFonts w:cstheme="minorHAnsi"/>
                <w:i/>
                <w:szCs w:val="24"/>
              </w:rPr>
              <w:t>11/27/2017</w:t>
            </w:r>
          </w:p>
        </w:tc>
      </w:tr>
      <w:tr w:rsidR="00457A76" w:rsidRPr="00457A76" w:rsidTr="00457A76">
        <w:trPr>
          <w:trHeight w:val="275"/>
          <w:tblHeader/>
          <w:jc w:val="center"/>
        </w:trPr>
        <w:tc>
          <w:tcPr>
            <w:tcW w:w="2969" w:type="dxa"/>
            <w:shd w:val="clear" w:color="auto" w:fill="auto"/>
          </w:tcPr>
          <w:p w:rsidR="00457A76" w:rsidRPr="00457A76" w:rsidRDefault="00457A76" w:rsidP="00457A76">
            <w:pPr>
              <w:rPr>
                <w:rFonts w:cstheme="minorHAnsi"/>
                <w:szCs w:val="24"/>
              </w:rPr>
            </w:pPr>
            <w:r w:rsidRPr="00457A76">
              <w:rPr>
                <w:rFonts w:cstheme="minorHAnsi"/>
                <w:b/>
                <w:szCs w:val="24"/>
              </w:rPr>
              <w:t>Approval Authority</w:t>
            </w:r>
          </w:p>
        </w:tc>
        <w:tc>
          <w:tcPr>
            <w:tcW w:w="6368" w:type="dxa"/>
            <w:shd w:val="clear" w:color="auto" w:fill="FFFFFF"/>
          </w:tcPr>
          <w:p w:rsidR="00457A76" w:rsidRPr="00457A76" w:rsidRDefault="00457A76" w:rsidP="00457A76">
            <w:pPr>
              <w:rPr>
                <w:rFonts w:cstheme="minorHAnsi"/>
                <w:i/>
                <w:szCs w:val="24"/>
                <w:lang w:val="fr-CA"/>
              </w:rPr>
            </w:pPr>
            <w:r w:rsidRPr="00457A76">
              <w:rPr>
                <w:rFonts w:cstheme="minorHAnsi"/>
                <w:i/>
                <w:szCs w:val="24"/>
                <w:lang w:val="fr-CA"/>
              </w:rPr>
              <w:t>VPOC</w:t>
            </w:r>
          </w:p>
        </w:tc>
      </w:tr>
      <w:tr w:rsidR="00457A76" w:rsidRPr="00457A76" w:rsidTr="00457A76">
        <w:tblPrEx>
          <w:shd w:val="clear" w:color="auto" w:fill="auto"/>
        </w:tblPrEx>
        <w:trPr>
          <w:trHeight w:val="275"/>
          <w:tblHeader/>
          <w:jc w:val="center"/>
        </w:trPr>
        <w:tc>
          <w:tcPr>
            <w:tcW w:w="2969" w:type="dxa"/>
            <w:shd w:val="clear" w:color="auto" w:fill="auto"/>
          </w:tcPr>
          <w:p w:rsidR="00457A76" w:rsidRPr="00457A76" w:rsidRDefault="00457A76" w:rsidP="00457A76">
            <w:pPr>
              <w:rPr>
                <w:rFonts w:cstheme="minorHAnsi"/>
                <w:b/>
                <w:szCs w:val="24"/>
              </w:rPr>
            </w:pPr>
            <w:r w:rsidRPr="00457A76">
              <w:rPr>
                <w:rFonts w:cstheme="minorHAnsi"/>
                <w:b/>
                <w:szCs w:val="24"/>
              </w:rPr>
              <w:t>Date of Commencement</w:t>
            </w:r>
          </w:p>
        </w:tc>
        <w:tc>
          <w:tcPr>
            <w:tcW w:w="6368" w:type="dxa"/>
          </w:tcPr>
          <w:p w:rsidR="00457A76" w:rsidRPr="00457A76" w:rsidRDefault="00457A76" w:rsidP="00457A76">
            <w:pPr>
              <w:rPr>
                <w:rFonts w:cstheme="minorHAnsi"/>
                <w:i/>
                <w:szCs w:val="24"/>
              </w:rPr>
            </w:pPr>
          </w:p>
        </w:tc>
      </w:tr>
      <w:tr w:rsidR="00457A76" w:rsidRPr="00457A76" w:rsidTr="00457A76">
        <w:tblPrEx>
          <w:shd w:val="clear" w:color="auto" w:fill="auto"/>
        </w:tblPrEx>
        <w:trPr>
          <w:trHeight w:val="275"/>
          <w:tblHeader/>
          <w:jc w:val="center"/>
        </w:trPr>
        <w:tc>
          <w:tcPr>
            <w:tcW w:w="2969" w:type="dxa"/>
            <w:shd w:val="clear" w:color="auto" w:fill="auto"/>
          </w:tcPr>
          <w:p w:rsidR="00457A76" w:rsidRPr="00457A76" w:rsidRDefault="00457A76" w:rsidP="00457A76">
            <w:pPr>
              <w:rPr>
                <w:rFonts w:cstheme="minorHAnsi"/>
                <w:szCs w:val="24"/>
              </w:rPr>
            </w:pPr>
            <w:r w:rsidRPr="00457A76">
              <w:rPr>
                <w:rFonts w:cstheme="minorHAnsi"/>
                <w:b/>
                <w:szCs w:val="24"/>
              </w:rPr>
              <w:t>Amendment Dates</w:t>
            </w:r>
          </w:p>
        </w:tc>
        <w:tc>
          <w:tcPr>
            <w:tcW w:w="6368" w:type="dxa"/>
          </w:tcPr>
          <w:p w:rsidR="00457A76" w:rsidRPr="00457A76" w:rsidRDefault="00457A76" w:rsidP="00457A76">
            <w:pPr>
              <w:rPr>
                <w:rFonts w:cstheme="minorHAnsi"/>
                <w:i/>
                <w:szCs w:val="24"/>
              </w:rPr>
            </w:pPr>
          </w:p>
        </w:tc>
      </w:tr>
      <w:tr w:rsidR="00457A76" w:rsidRPr="00457A76" w:rsidTr="00457A76">
        <w:tblPrEx>
          <w:shd w:val="clear" w:color="auto" w:fill="auto"/>
        </w:tblPrEx>
        <w:trPr>
          <w:trHeight w:val="291"/>
          <w:tblHeader/>
          <w:jc w:val="center"/>
        </w:trPr>
        <w:tc>
          <w:tcPr>
            <w:tcW w:w="2969" w:type="dxa"/>
            <w:shd w:val="clear" w:color="auto" w:fill="auto"/>
          </w:tcPr>
          <w:p w:rsidR="00457A76" w:rsidRPr="00457A76" w:rsidRDefault="00457A76" w:rsidP="00457A76">
            <w:pPr>
              <w:rPr>
                <w:rFonts w:cstheme="minorHAnsi"/>
                <w:szCs w:val="24"/>
              </w:rPr>
            </w:pPr>
            <w:r w:rsidRPr="00457A76">
              <w:rPr>
                <w:rFonts w:cstheme="minorHAnsi"/>
                <w:b/>
                <w:szCs w:val="24"/>
              </w:rPr>
              <w:t>Date for Next Review</w:t>
            </w:r>
          </w:p>
        </w:tc>
        <w:tc>
          <w:tcPr>
            <w:tcW w:w="6368" w:type="dxa"/>
          </w:tcPr>
          <w:p w:rsidR="00457A76" w:rsidRPr="00457A76" w:rsidRDefault="00457A76" w:rsidP="00457A76">
            <w:pPr>
              <w:rPr>
                <w:rFonts w:cstheme="minorHAnsi"/>
                <w:i/>
                <w:szCs w:val="24"/>
              </w:rPr>
            </w:pPr>
            <w:r w:rsidRPr="00457A76">
              <w:rPr>
                <w:rFonts w:cstheme="minorHAnsi"/>
                <w:i/>
                <w:szCs w:val="24"/>
              </w:rPr>
              <w:t>11/27/2022</w:t>
            </w:r>
          </w:p>
        </w:tc>
      </w:tr>
      <w:tr w:rsidR="00457A76" w:rsidRPr="00457A76" w:rsidTr="00457A76">
        <w:tblPrEx>
          <w:shd w:val="clear" w:color="auto" w:fill="auto"/>
        </w:tblPrEx>
        <w:trPr>
          <w:trHeight w:val="291"/>
          <w:tblHeader/>
          <w:jc w:val="center"/>
        </w:trPr>
        <w:tc>
          <w:tcPr>
            <w:tcW w:w="2969" w:type="dxa"/>
            <w:tcBorders>
              <w:bottom w:val="single" w:sz="4" w:space="0" w:color="C0C0C0"/>
            </w:tcBorders>
            <w:shd w:val="clear" w:color="auto" w:fill="auto"/>
          </w:tcPr>
          <w:p w:rsidR="00457A76" w:rsidRPr="00457A76" w:rsidRDefault="00457A76" w:rsidP="00457A76">
            <w:pPr>
              <w:rPr>
                <w:rFonts w:cstheme="minorHAnsi"/>
                <w:b/>
                <w:szCs w:val="24"/>
              </w:rPr>
            </w:pPr>
            <w:r w:rsidRPr="00457A76">
              <w:rPr>
                <w:rFonts w:cstheme="minorHAnsi"/>
                <w:b/>
                <w:szCs w:val="24"/>
              </w:rPr>
              <w:t>Related Policies, Procedures and Guidelines</w:t>
            </w:r>
          </w:p>
        </w:tc>
        <w:tc>
          <w:tcPr>
            <w:tcW w:w="6368" w:type="dxa"/>
          </w:tcPr>
          <w:p w:rsidR="00457A76" w:rsidRPr="00457A76" w:rsidRDefault="002D365D" w:rsidP="00457A76">
            <w:pPr>
              <w:rPr>
                <w:rFonts w:cstheme="minorHAnsi"/>
                <w:szCs w:val="24"/>
                <w:u w:val="single"/>
              </w:rPr>
            </w:pPr>
            <w:hyperlink r:id="rId76" w:history="1">
              <w:r w:rsidR="00457A76" w:rsidRPr="00457A76">
                <w:rPr>
                  <w:rStyle w:val="Hyperlink"/>
                  <w:rFonts w:cstheme="minorHAnsi"/>
                  <w:szCs w:val="24"/>
                </w:rPr>
                <w:t>Accessibility Policy</w:t>
              </w:r>
            </w:hyperlink>
          </w:p>
          <w:p w:rsidR="00457A76" w:rsidRPr="00457A76" w:rsidRDefault="00457A76" w:rsidP="00457A76">
            <w:pPr>
              <w:rPr>
                <w:rFonts w:cstheme="minorHAnsi"/>
                <w:i/>
                <w:szCs w:val="24"/>
              </w:rPr>
            </w:pPr>
          </w:p>
        </w:tc>
      </w:tr>
    </w:tbl>
    <w:p w:rsidR="00457A76" w:rsidRPr="00457A76" w:rsidRDefault="00457A76" w:rsidP="00457A76">
      <w:pPr>
        <w:rPr>
          <w:rFonts w:cstheme="minorHAnsi"/>
          <w:szCs w:val="24"/>
        </w:rPr>
      </w:pPr>
    </w:p>
    <w:p w:rsidR="00623419" w:rsidRPr="009F0E4B" w:rsidRDefault="00623419" w:rsidP="00D15055">
      <w:pPr>
        <w:rPr>
          <w:rFonts w:cstheme="minorHAnsi"/>
          <w:szCs w:val="24"/>
        </w:rPr>
      </w:pPr>
    </w:p>
    <w:sectPr w:rsidR="00623419" w:rsidRPr="009F0E4B" w:rsidSect="004621B8">
      <w:footerReference w:type="default" r:id="rId77"/>
      <w:pgSz w:w="12240" w:h="15840"/>
      <w:pgMar w:top="864" w:right="864"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65D" w:rsidRDefault="002D365D" w:rsidP="00A77653">
      <w:pPr>
        <w:spacing w:after="0" w:line="240" w:lineRule="auto"/>
      </w:pPr>
      <w:r>
        <w:separator/>
      </w:r>
    </w:p>
  </w:endnote>
  <w:endnote w:type="continuationSeparator" w:id="0">
    <w:p w:rsidR="002D365D" w:rsidRDefault="002D365D" w:rsidP="00A77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A76" w:rsidRDefault="00457A76" w:rsidP="00D242E3">
    <w:pPr>
      <w:pStyle w:val="Footer"/>
    </w:pPr>
    <w:r>
      <w:rPr>
        <w:i/>
        <w:sz w:val="18"/>
        <w:szCs w:val="18"/>
      </w:rPr>
      <w:t>Approved by Vice-Principals’ Operations Committee October 17, 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935970"/>
      <w:docPartObj>
        <w:docPartGallery w:val="Page Numbers (Bottom of Page)"/>
        <w:docPartUnique/>
      </w:docPartObj>
    </w:sdtPr>
    <w:sdtEndPr/>
    <w:sdtContent>
      <w:sdt>
        <w:sdtPr>
          <w:id w:val="-1769616900"/>
          <w:docPartObj>
            <w:docPartGallery w:val="Page Numbers (Top of Page)"/>
            <w:docPartUnique/>
          </w:docPartObj>
        </w:sdtPr>
        <w:sdtEndPr/>
        <w:sdtContent>
          <w:p w:rsidR="00457A76" w:rsidRDefault="00457A76" w:rsidP="00D242E3">
            <w:pPr>
              <w:pStyle w:val="Footer"/>
            </w:pPr>
          </w:p>
          <w:p w:rsidR="00457A76" w:rsidRDefault="00457A76" w:rsidP="00D242E3">
            <w:pPr>
              <w:pStyle w:val="Footer"/>
            </w:pPr>
            <w:r>
              <w:rPr>
                <w:i/>
                <w:sz w:val="18"/>
                <w:szCs w:val="18"/>
              </w:rPr>
              <w:ptab w:relativeTo="margin" w:alignment="left" w:leader="none"/>
            </w:r>
            <w:r>
              <w:rPr>
                <w:i/>
                <w:sz w:val="18"/>
                <w:szCs w:val="18"/>
              </w:rPr>
              <w:t xml:space="preserve">Approved by Vice-Principals’ Operations Committee October 17, 2016 </w:t>
            </w:r>
            <w:r>
              <w:rPr>
                <w:i/>
                <w:sz w:val="18"/>
                <w:szCs w:val="18"/>
              </w:rPr>
              <w:ptab w:relativeTo="margin" w:alignment="right" w:leader="none"/>
            </w:r>
            <w:r>
              <w:t xml:space="preserve">Page </w:t>
            </w:r>
            <w:r>
              <w:rPr>
                <w:b/>
                <w:bCs/>
                <w:szCs w:val="24"/>
              </w:rPr>
              <w:fldChar w:fldCharType="begin"/>
            </w:r>
            <w:r>
              <w:rPr>
                <w:b/>
                <w:bCs/>
              </w:rPr>
              <w:instrText xml:space="preserve"> PAGE </w:instrText>
            </w:r>
            <w:r>
              <w:rPr>
                <w:b/>
                <w:bCs/>
                <w:szCs w:val="24"/>
              </w:rPr>
              <w:fldChar w:fldCharType="separate"/>
            </w:r>
            <w:r w:rsidR="005A1BD3">
              <w:rPr>
                <w:b/>
                <w:bCs/>
                <w:noProof/>
              </w:rPr>
              <w:t>17</w:t>
            </w:r>
            <w:r>
              <w:rPr>
                <w:b/>
                <w:bCs/>
                <w:szCs w:val="24"/>
              </w:rPr>
              <w:fldChar w:fldCharType="end"/>
            </w:r>
            <w:r>
              <w:t xml:space="preserve"> of </w:t>
            </w:r>
            <w:r>
              <w:rPr>
                <w:b/>
                <w:bCs/>
                <w:szCs w:val="24"/>
              </w:rPr>
              <w:t>19</w:t>
            </w:r>
          </w:p>
        </w:sdtContent>
      </w:sdt>
    </w:sdtContent>
  </w:sdt>
  <w:p w:rsidR="00457A76" w:rsidRPr="006D39F8" w:rsidRDefault="00457A76">
    <w:pPr>
      <w:pStyle w:val="Foo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615094"/>
      <w:docPartObj>
        <w:docPartGallery w:val="Page Numbers (Bottom of Page)"/>
        <w:docPartUnique/>
      </w:docPartObj>
    </w:sdtPr>
    <w:sdtEndPr/>
    <w:sdtContent>
      <w:sdt>
        <w:sdtPr>
          <w:id w:val="-213432131"/>
          <w:docPartObj>
            <w:docPartGallery w:val="Page Numbers (Top of Page)"/>
            <w:docPartUnique/>
          </w:docPartObj>
        </w:sdtPr>
        <w:sdtEndPr/>
        <w:sdtContent>
          <w:p w:rsidR="00457A76" w:rsidRDefault="00457A76" w:rsidP="00D242E3">
            <w:pPr>
              <w:pStyle w:val="Footer"/>
            </w:pPr>
          </w:p>
          <w:p w:rsidR="00457A76" w:rsidRDefault="00457A76" w:rsidP="00D242E3">
            <w:pPr>
              <w:pStyle w:val="Footer"/>
            </w:pPr>
            <w:r>
              <w:rPr>
                <w:i/>
                <w:sz w:val="18"/>
                <w:szCs w:val="18"/>
              </w:rPr>
              <w:ptab w:relativeTo="margin" w:alignment="left" w:leader="none"/>
            </w:r>
            <w:r>
              <w:rPr>
                <w:i/>
                <w:sz w:val="18"/>
                <w:szCs w:val="18"/>
              </w:rPr>
              <w:t xml:space="preserve">Approved by Vice-Principals’ Operations Committee October 17, 2016 </w:t>
            </w:r>
            <w:r>
              <w:rPr>
                <w:i/>
                <w:sz w:val="18"/>
                <w:szCs w:val="18"/>
              </w:rPr>
              <w:ptab w:relativeTo="margin" w:alignment="right" w:leader="none"/>
            </w:r>
            <w:r>
              <w:t xml:space="preserve">Page </w:t>
            </w:r>
            <w:r>
              <w:rPr>
                <w:b/>
                <w:bCs/>
                <w:szCs w:val="24"/>
              </w:rPr>
              <w:fldChar w:fldCharType="begin"/>
            </w:r>
            <w:r>
              <w:rPr>
                <w:b/>
                <w:bCs/>
              </w:rPr>
              <w:instrText xml:space="preserve"> PAGE </w:instrText>
            </w:r>
            <w:r>
              <w:rPr>
                <w:b/>
                <w:bCs/>
                <w:szCs w:val="24"/>
              </w:rPr>
              <w:fldChar w:fldCharType="separate"/>
            </w:r>
            <w:r w:rsidR="005A1BD3">
              <w:rPr>
                <w:b/>
                <w:bCs/>
                <w:noProof/>
              </w:rPr>
              <w:t>18</w:t>
            </w:r>
            <w:r>
              <w:rPr>
                <w:b/>
                <w:bCs/>
                <w:szCs w:val="24"/>
              </w:rPr>
              <w:fldChar w:fldCharType="end"/>
            </w:r>
            <w:r>
              <w:t xml:space="preserve"> of </w:t>
            </w:r>
            <w:r>
              <w:rPr>
                <w:b/>
                <w:bCs/>
                <w:szCs w:val="24"/>
              </w:rPr>
              <w:t>19</w:t>
            </w:r>
          </w:p>
        </w:sdtContent>
      </w:sdt>
    </w:sdtContent>
  </w:sdt>
  <w:p w:rsidR="00457A76" w:rsidRPr="006D39F8" w:rsidRDefault="00457A76">
    <w:pPr>
      <w:pStyle w:val="Footer"/>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272827"/>
      <w:docPartObj>
        <w:docPartGallery w:val="Page Numbers (Bottom of Page)"/>
        <w:docPartUnique/>
      </w:docPartObj>
    </w:sdtPr>
    <w:sdtEndPr/>
    <w:sdtContent>
      <w:sdt>
        <w:sdtPr>
          <w:id w:val="898719246"/>
          <w:docPartObj>
            <w:docPartGallery w:val="Page Numbers (Top of Page)"/>
            <w:docPartUnique/>
          </w:docPartObj>
        </w:sdtPr>
        <w:sdtEndPr/>
        <w:sdtContent>
          <w:p w:rsidR="007056C5" w:rsidRDefault="007056C5" w:rsidP="00D242E3">
            <w:pPr>
              <w:pStyle w:val="Footer"/>
            </w:pPr>
          </w:p>
          <w:p w:rsidR="007056C5" w:rsidRDefault="002D365D" w:rsidP="00D242E3">
            <w:pPr>
              <w:pStyle w:val="Footer"/>
            </w:pPr>
          </w:p>
        </w:sdtContent>
      </w:sdt>
    </w:sdtContent>
  </w:sdt>
  <w:p w:rsidR="007056C5" w:rsidRPr="006D39F8" w:rsidRDefault="007056C5">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65D" w:rsidRDefault="002D365D" w:rsidP="00A77653">
      <w:pPr>
        <w:spacing w:after="0" w:line="240" w:lineRule="auto"/>
      </w:pPr>
      <w:r>
        <w:separator/>
      </w:r>
    </w:p>
  </w:footnote>
  <w:footnote w:type="continuationSeparator" w:id="0">
    <w:p w:rsidR="002D365D" w:rsidRDefault="002D365D" w:rsidP="00A77653">
      <w:pPr>
        <w:spacing w:after="0" w:line="240" w:lineRule="auto"/>
      </w:pPr>
      <w:r>
        <w:continuationSeparator/>
      </w:r>
    </w:p>
  </w:footnote>
  <w:footnote w:id="1">
    <w:p w:rsidR="00457A76" w:rsidRDefault="00457A76">
      <w:pPr>
        <w:pStyle w:val="FootnoteText"/>
      </w:pPr>
      <w:r>
        <w:rPr>
          <w:rStyle w:val="FootnoteReference"/>
        </w:rPr>
        <w:footnoteRef/>
      </w:r>
      <w:r>
        <w:t xml:space="preserve"> Unless the Act or regulation specifically provides </w:t>
      </w:r>
      <w:proofErr w:type="gramStart"/>
      <w:r>
        <w:t>that</w:t>
      </w:r>
      <w:proofErr w:type="gramEnd"/>
      <w:r>
        <w:t xml:space="preserve"> it is to apply despite the Human Rights Code (section 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A76" w:rsidRDefault="00457A76" w:rsidP="004846B9">
    <w:pPr>
      <w:pStyle w:val="Header"/>
      <w:tabs>
        <w:tab w:val="clear" w:pos="4680"/>
        <w:tab w:val="clear" w:pos="9360"/>
        <w:tab w:val="center" w:pos="0"/>
      </w:tabs>
      <w:ind w:left="-1418" w:right="-1413"/>
    </w:pPr>
    <w:r>
      <w:rPr>
        <w:noProof/>
        <w:lang w:eastAsia="en-CA"/>
      </w:rPr>
      <w:ptab w:relativeTo="margin" w:alignment="left" w:leader="none"/>
    </w:r>
    <w:r>
      <w:rPr>
        <w:noProof/>
        <w:lang w:eastAsia="en-CA"/>
      </w:rPr>
      <w:drawing>
        <wp:inline distT="0" distB="0" distL="0" distR="0" wp14:anchorId="6DC945E8" wp14:editId="5D8BCCDE">
          <wp:extent cx="7772400" cy="1235413"/>
          <wp:effectExtent l="0" t="0" r="0" b="3175"/>
          <wp:docPr id="17" name="Picture 17" descr="Queen'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772387" cy="12354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A76" w:rsidRDefault="00457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A76" w:rsidRDefault="0045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7FF"/>
    <w:multiLevelType w:val="hybridMultilevel"/>
    <w:tmpl w:val="A9083B44"/>
    <w:lvl w:ilvl="0" w:tplc="1009000D">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063F47EB"/>
    <w:multiLevelType w:val="hybridMultilevel"/>
    <w:tmpl w:val="AE382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111C69"/>
    <w:multiLevelType w:val="hybridMultilevel"/>
    <w:tmpl w:val="46A46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7643E6"/>
    <w:multiLevelType w:val="hybridMultilevel"/>
    <w:tmpl w:val="3432DE9C"/>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B9259D"/>
    <w:multiLevelType w:val="multilevel"/>
    <w:tmpl w:val="5956ABD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304256F"/>
    <w:multiLevelType w:val="hybridMultilevel"/>
    <w:tmpl w:val="B9C077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0D7EA4"/>
    <w:multiLevelType w:val="hybridMultilevel"/>
    <w:tmpl w:val="94945DC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812FD3"/>
    <w:multiLevelType w:val="hybridMultilevel"/>
    <w:tmpl w:val="C5549C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7D5D28"/>
    <w:multiLevelType w:val="hybridMultilevel"/>
    <w:tmpl w:val="3ED6168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8039D"/>
    <w:multiLevelType w:val="hybridMultilevel"/>
    <w:tmpl w:val="B4DAB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9268E4"/>
    <w:multiLevelType w:val="multilevel"/>
    <w:tmpl w:val="5956ABD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AF706B6"/>
    <w:multiLevelType w:val="hybridMultilevel"/>
    <w:tmpl w:val="58C4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7053"/>
    <w:multiLevelType w:val="hybridMultilevel"/>
    <w:tmpl w:val="963E5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3288F"/>
    <w:multiLevelType w:val="hybridMultilevel"/>
    <w:tmpl w:val="61CA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36CB3"/>
    <w:multiLevelType w:val="hybridMultilevel"/>
    <w:tmpl w:val="A6EC2E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DE7D4D"/>
    <w:multiLevelType w:val="hybridMultilevel"/>
    <w:tmpl w:val="120CA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DE6E3F"/>
    <w:multiLevelType w:val="hybridMultilevel"/>
    <w:tmpl w:val="707CE9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FC038D"/>
    <w:multiLevelType w:val="hybridMultilevel"/>
    <w:tmpl w:val="F3CC588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1C395C"/>
    <w:multiLevelType w:val="multilevel"/>
    <w:tmpl w:val="9182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556A0"/>
    <w:multiLevelType w:val="hybridMultilevel"/>
    <w:tmpl w:val="1F36D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FA11BE"/>
    <w:multiLevelType w:val="hybridMultilevel"/>
    <w:tmpl w:val="B900C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9E92C84"/>
    <w:multiLevelType w:val="multilevel"/>
    <w:tmpl w:val="EA4E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5363F"/>
    <w:multiLevelType w:val="hybridMultilevel"/>
    <w:tmpl w:val="A9080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775E94"/>
    <w:multiLevelType w:val="hybridMultilevel"/>
    <w:tmpl w:val="37AE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921D0"/>
    <w:multiLevelType w:val="hybridMultilevel"/>
    <w:tmpl w:val="0936C1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AE6B8B"/>
    <w:multiLevelType w:val="hybridMultilevel"/>
    <w:tmpl w:val="083651F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9760FA"/>
    <w:multiLevelType w:val="hybridMultilevel"/>
    <w:tmpl w:val="3B74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F0EA6"/>
    <w:multiLevelType w:val="hybridMultilevel"/>
    <w:tmpl w:val="6A722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D3852"/>
    <w:multiLevelType w:val="hybridMultilevel"/>
    <w:tmpl w:val="D8302D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32175C"/>
    <w:multiLevelType w:val="hybridMultilevel"/>
    <w:tmpl w:val="AAFAA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1D3DEB"/>
    <w:multiLevelType w:val="multilevel"/>
    <w:tmpl w:val="5956ABD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37B2DC8"/>
    <w:multiLevelType w:val="hybridMultilevel"/>
    <w:tmpl w:val="2E54C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3C0F3F"/>
    <w:multiLevelType w:val="hybridMultilevel"/>
    <w:tmpl w:val="7BD8A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8F6B91"/>
    <w:multiLevelType w:val="hybridMultilevel"/>
    <w:tmpl w:val="DE64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A661AB7"/>
    <w:multiLevelType w:val="hybridMultilevel"/>
    <w:tmpl w:val="0FA6C4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167C5F"/>
    <w:multiLevelType w:val="hybridMultilevel"/>
    <w:tmpl w:val="3210E79E"/>
    <w:lvl w:ilvl="0" w:tplc="10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F0A59"/>
    <w:multiLevelType w:val="hybridMultilevel"/>
    <w:tmpl w:val="35B6D5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DE3412"/>
    <w:multiLevelType w:val="hybridMultilevel"/>
    <w:tmpl w:val="CA1E6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3"/>
  </w:num>
  <w:num w:numId="4">
    <w:abstractNumId w:val="26"/>
  </w:num>
  <w:num w:numId="5">
    <w:abstractNumId w:val="4"/>
  </w:num>
  <w:num w:numId="6">
    <w:abstractNumId w:val="22"/>
  </w:num>
  <w:num w:numId="7">
    <w:abstractNumId w:val="10"/>
  </w:num>
  <w:num w:numId="8">
    <w:abstractNumId w:val="30"/>
  </w:num>
  <w:num w:numId="9">
    <w:abstractNumId w:val="28"/>
  </w:num>
  <w:num w:numId="10">
    <w:abstractNumId w:val="12"/>
  </w:num>
  <w:num w:numId="11">
    <w:abstractNumId w:val="15"/>
  </w:num>
  <w:num w:numId="12">
    <w:abstractNumId w:val="16"/>
  </w:num>
  <w:num w:numId="13">
    <w:abstractNumId w:val="32"/>
  </w:num>
  <w:num w:numId="14">
    <w:abstractNumId w:val="8"/>
  </w:num>
  <w:num w:numId="15">
    <w:abstractNumId w:val="7"/>
  </w:num>
  <w:num w:numId="16">
    <w:abstractNumId w:val="14"/>
  </w:num>
  <w:num w:numId="17">
    <w:abstractNumId w:val="2"/>
  </w:num>
  <w:num w:numId="18">
    <w:abstractNumId w:val="34"/>
  </w:num>
  <w:num w:numId="19">
    <w:abstractNumId w:val="33"/>
  </w:num>
  <w:num w:numId="20">
    <w:abstractNumId w:val="3"/>
  </w:num>
  <w:num w:numId="21">
    <w:abstractNumId w:val="35"/>
  </w:num>
  <w:num w:numId="22">
    <w:abstractNumId w:val="18"/>
  </w:num>
  <w:num w:numId="23">
    <w:abstractNumId w:val="21"/>
  </w:num>
  <w:num w:numId="24">
    <w:abstractNumId w:val="1"/>
  </w:num>
  <w:num w:numId="25">
    <w:abstractNumId w:val="19"/>
  </w:num>
  <w:num w:numId="26">
    <w:abstractNumId w:val="27"/>
  </w:num>
  <w:num w:numId="27">
    <w:abstractNumId w:val="36"/>
  </w:num>
  <w:num w:numId="28">
    <w:abstractNumId w:val="6"/>
  </w:num>
  <w:num w:numId="29">
    <w:abstractNumId w:val="5"/>
  </w:num>
  <w:num w:numId="30">
    <w:abstractNumId w:val="20"/>
  </w:num>
  <w:num w:numId="31">
    <w:abstractNumId w:val="17"/>
  </w:num>
  <w:num w:numId="32">
    <w:abstractNumId w:val="25"/>
  </w:num>
  <w:num w:numId="33">
    <w:abstractNumId w:val="29"/>
  </w:num>
  <w:num w:numId="34">
    <w:abstractNumId w:val="0"/>
  </w:num>
  <w:num w:numId="35">
    <w:abstractNumId w:val="9"/>
  </w:num>
  <w:num w:numId="36">
    <w:abstractNumId w:val="31"/>
  </w:num>
  <w:num w:numId="37">
    <w:abstractNumId w:val="37"/>
  </w:num>
  <w:num w:numId="3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29"/>
    <w:rsid w:val="00000B8D"/>
    <w:rsid w:val="000015C6"/>
    <w:rsid w:val="000022D9"/>
    <w:rsid w:val="000044E9"/>
    <w:rsid w:val="000062AF"/>
    <w:rsid w:val="00006F44"/>
    <w:rsid w:val="00007F27"/>
    <w:rsid w:val="00011C0B"/>
    <w:rsid w:val="00012998"/>
    <w:rsid w:val="000144E6"/>
    <w:rsid w:val="000163BE"/>
    <w:rsid w:val="0002057D"/>
    <w:rsid w:val="00020855"/>
    <w:rsid w:val="00020AB4"/>
    <w:rsid w:val="0002286F"/>
    <w:rsid w:val="00022E76"/>
    <w:rsid w:val="00024797"/>
    <w:rsid w:val="00024BE4"/>
    <w:rsid w:val="00025A49"/>
    <w:rsid w:val="000302A6"/>
    <w:rsid w:val="0003094F"/>
    <w:rsid w:val="00030A16"/>
    <w:rsid w:val="000324D5"/>
    <w:rsid w:val="00033466"/>
    <w:rsid w:val="000346D6"/>
    <w:rsid w:val="00043B92"/>
    <w:rsid w:val="0005080D"/>
    <w:rsid w:val="000525EE"/>
    <w:rsid w:val="000526E8"/>
    <w:rsid w:val="00061F6B"/>
    <w:rsid w:val="000623F4"/>
    <w:rsid w:val="00062A97"/>
    <w:rsid w:val="00063F11"/>
    <w:rsid w:val="000758C9"/>
    <w:rsid w:val="000760AD"/>
    <w:rsid w:val="00086A32"/>
    <w:rsid w:val="00086E23"/>
    <w:rsid w:val="00090B8A"/>
    <w:rsid w:val="00092444"/>
    <w:rsid w:val="000928C0"/>
    <w:rsid w:val="000A021D"/>
    <w:rsid w:val="000A13E8"/>
    <w:rsid w:val="000A347B"/>
    <w:rsid w:val="000A5B6C"/>
    <w:rsid w:val="000A5D45"/>
    <w:rsid w:val="000B2FD3"/>
    <w:rsid w:val="000B7C89"/>
    <w:rsid w:val="000C1F00"/>
    <w:rsid w:val="000C50EC"/>
    <w:rsid w:val="000C6989"/>
    <w:rsid w:val="000C766B"/>
    <w:rsid w:val="000C7853"/>
    <w:rsid w:val="000D403F"/>
    <w:rsid w:val="000D5874"/>
    <w:rsid w:val="000E276E"/>
    <w:rsid w:val="000E4A29"/>
    <w:rsid w:val="000E6AFB"/>
    <w:rsid w:val="000F02A4"/>
    <w:rsid w:val="000F0632"/>
    <w:rsid w:val="000F169C"/>
    <w:rsid w:val="000F752D"/>
    <w:rsid w:val="001025A9"/>
    <w:rsid w:val="00105223"/>
    <w:rsid w:val="0010526A"/>
    <w:rsid w:val="001076FD"/>
    <w:rsid w:val="00110AE7"/>
    <w:rsid w:val="001162E3"/>
    <w:rsid w:val="001163E0"/>
    <w:rsid w:val="00116ED3"/>
    <w:rsid w:val="00120C7D"/>
    <w:rsid w:val="001213F6"/>
    <w:rsid w:val="0012463A"/>
    <w:rsid w:val="00130045"/>
    <w:rsid w:val="00130FE7"/>
    <w:rsid w:val="0014124E"/>
    <w:rsid w:val="0015048B"/>
    <w:rsid w:val="00151DED"/>
    <w:rsid w:val="00155EAF"/>
    <w:rsid w:val="00162B72"/>
    <w:rsid w:val="0016313F"/>
    <w:rsid w:val="001652B3"/>
    <w:rsid w:val="001665BA"/>
    <w:rsid w:val="00166CEA"/>
    <w:rsid w:val="00170618"/>
    <w:rsid w:val="00173BF7"/>
    <w:rsid w:val="0017461D"/>
    <w:rsid w:val="00180DC4"/>
    <w:rsid w:val="00181762"/>
    <w:rsid w:val="00181E30"/>
    <w:rsid w:val="0018349F"/>
    <w:rsid w:val="001843E0"/>
    <w:rsid w:val="001864D7"/>
    <w:rsid w:val="001954C9"/>
    <w:rsid w:val="0019618F"/>
    <w:rsid w:val="0019631D"/>
    <w:rsid w:val="001A089E"/>
    <w:rsid w:val="001A0C67"/>
    <w:rsid w:val="001A493B"/>
    <w:rsid w:val="001A6453"/>
    <w:rsid w:val="001B65CD"/>
    <w:rsid w:val="001C2EEC"/>
    <w:rsid w:val="001D01B4"/>
    <w:rsid w:val="001D3245"/>
    <w:rsid w:val="001E160D"/>
    <w:rsid w:val="001E288D"/>
    <w:rsid w:val="001F1731"/>
    <w:rsid w:val="001F6B5D"/>
    <w:rsid w:val="002016A5"/>
    <w:rsid w:val="0020347A"/>
    <w:rsid w:val="00203D10"/>
    <w:rsid w:val="00206D88"/>
    <w:rsid w:val="002101F9"/>
    <w:rsid w:val="00210806"/>
    <w:rsid w:val="0021388A"/>
    <w:rsid w:val="00222D92"/>
    <w:rsid w:val="0023281B"/>
    <w:rsid w:val="00233D5D"/>
    <w:rsid w:val="00236A13"/>
    <w:rsid w:val="00241F0A"/>
    <w:rsid w:val="0024659F"/>
    <w:rsid w:val="00247712"/>
    <w:rsid w:val="00250A0C"/>
    <w:rsid w:val="00253024"/>
    <w:rsid w:val="00256B82"/>
    <w:rsid w:val="002608B4"/>
    <w:rsid w:val="00261BA9"/>
    <w:rsid w:val="00272231"/>
    <w:rsid w:val="0027263C"/>
    <w:rsid w:val="00276C38"/>
    <w:rsid w:val="002776A3"/>
    <w:rsid w:val="00277A79"/>
    <w:rsid w:val="00277BA5"/>
    <w:rsid w:val="00281C4C"/>
    <w:rsid w:val="00283874"/>
    <w:rsid w:val="00291065"/>
    <w:rsid w:val="0029214D"/>
    <w:rsid w:val="002972F7"/>
    <w:rsid w:val="002A42C1"/>
    <w:rsid w:val="002A5768"/>
    <w:rsid w:val="002A5F0A"/>
    <w:rsid w:val="002B3FB1"/>
    <w:rsid w:val="002B57C7"/>
    <w:rsid w:val="002B7469"/>
    <w:rsid w:val="002B7992"/>
    <w:rsid w:val="002C09F2"/>
    <w:rsid w:val="002C4153"/>
    <w:rsid w:val="002C4937"/>
    <w:rsid w:val="002C7C03"/>
    <w:rsid w:val="002D2E87"/>
    <w:rsid w:val="002D330A"/>
    <w:rsid w:val="002D365D"/>
    <w:rsid w:val="002E1EC3"/>
    <w:rsid w:val="002E2B3F"/>
    <w:rsid w:val="002E7E20"/>
    <w:rsid w:val="002F5C21"/>
    <w:rsid w:val="002F7812"/>
    <w:rsid w:val="00304D30"/>
    <w:rsid w:val="00307567"/>
    <w:rsid w:val="0031129A"/>
    <w:rsid w:val="00311C1D"/>
    <w:rsid w:val="003131D5"/>
    <w:rsid w:val="00313A5B"/>
    <w:rsid w:val="00314527"/>
    <w:rsid w:val="00321FE6"/>
    <w:rsid w:val="00323472"/>
    <w:rsid w:val="00324ADA"/>
    <w:rsid w:val="00324CCA"/>
    <w:rsid w:val="003364EC"/>
    <w:rsid w:val="003370D1"/>
    <w:rsid w:val="003432D8"/>
    <w:rsid w:val="0034424D"/>
    <w:rsid w:val="00345359"/>
    <w:rsid w:val="0034553C"/>
    <w:rsid w:val="00351B4C"/>
    <w:rsid w:val="00355C09"/>
    <w:rsid w:val="00356EDA"/>
    <w:rsid w:val="0036099C"/>
    <w:rsid w:val="00360C22"/>
    <w:rsid w:val="00362D38"/>
    <w:rsid w:val="003674AE"/>
    <w:rsid w:val="00375875"/>
    <w:rsid w:val="00376DDF"/>
    <w:rsid w:val="00384A7A"/>
    <w:rsid w:val="00390B76"/>
    <w:rsid w:val="003943F7"/>
    <w:rsid w:val="003A047E"/>
    <w:rsid w:val="003A18F0"/>
    <w:rsid w:val="003A31DF"/>
    <w:rsid w:val="003A4D82"/>
    <w:rsid w:val="003A4EAA"/>
    <w:rsid w:val="003A692E"/>
    <w:rsid w:val="003B06C4"/>
    <w:rsid w:val="003B0986"/>
    <w:rsid w:val="003B1AD2"/>
    <w:rsid w:val="003B2770"/>
    <w:rsid w:val="003B5141"/>
    <w:rsid w:val="003B67F2"/>
    <w:rsid w:val="003C18B9"/>
    <w:rsid w:val="003D393E"/>
    <w:rsid w:val="003D622D"/>
    <w:rsid w:val="003D6D66"/>
    <w:rsid w:val="003E1AFB"/>
    <w:rsid w:val="003E2F1D"/>
    <w:rsid w:val="003E3670"/>
    <w:rsid w:val="003E5D19"/>
    <w:rsid w:val="003F078E"/>
    <w:rsid w:val="003F1ABD"/>
    <w:rsid w:val="003F75A7"/>
    <w:rsid w:val="00401AC5"/>
    <w:rsid w:val="004022BA"/>
    <w:rsid w:val="004023A1"/>
    <w:rsid w:val="0040517D"/>
    <w:rsid w:val="004101EA"/>
    <w:rsid w:val="00411543"/>
    <w:rsid w:val="00414502"/>
    <w:rsid w:val="00417431"/>
    <w:rsid w:val="00420EF7"/>
    <w:rsid w:val="00425429"/>
    <w:rsid w:val="0042582C"/>
    <w:rsid w:val="00430172"/>
    <w:rsid w:val="00430A1F"/>
    <w:rsid w:val="00430FA9"/>
    <w:rsid w:val="00432612"/>
    <w:rsid w:val="00441319"/>
    <w:rsid w:val="004440E0"/>
    <w:rsid w:val="004467C7"/>
    <w:rsid w:val="00454387"/>
    <w:rsid w:val="00455113"/>
    <w:rsid w:val="00455684"/>
    <w:rsid w:val="00457A76"/>
    <w:rsid w:val="00460565"/>
    <w:rsid w:val="004621B8"/>
    <w:rsid w:val="00463865"/>
    <w:rsid w:val="00467C13"/>
    <w:rsid w:val="00474A43"/>
    <w:rsid w:val="0048065D"/>
    <w:rsid w:val="00481D40"/>
    <w:rsid w:val="004846B9"/>
    <w:rsid w:val="00493826"/>
    <w:rsid w:val="004947A7"/>
    <w:rsid w:val="0049505D"/>
    <w:rsid w:val="004A42A4"/>
    <w:rsid w:val="004A5655"/>
    <w:rsid w:val="004A7F2D"/>
    <w:rsid w:val="004B2B99"/>
    <w:rsid w:val="004B7537"/>
    <w:rsid w:val="004C29F5"/>
    <w:rsid w:val="004C78F1"/>
    <w:rsid w:val="004D2617"/>
    <w:rsid w:val="004E200B"/>
    <w:rsid w:val="004E21AF"/>
    <w:rsid w:val="004E6BCA"/>
    <w:rsid w:val="004F05F2"/>
    <w:rsid w:val="004F2AC6"/>
    <w:rsid w:val="004F7184"/>
    <w:rsid w:val="00501071"/>
    <w:rsid w:val="005032AB"/>
    <w:rsid w:val="0050743D"/>
    <w:rsid w:val="00523E99"/>
    <w:rsid w:val="00530925"/>
    <w:rsid w:val="00532D29"/>
    <w:rsid w:val="00541C59"/>
    <w:rsid w:val="00541E29"/>
    <w:rsid w:val="00546448"/>
    <w:rsid w:val="0055348A"/>
    <w:rsid w:val="00554DD7"/>
    <w:rsid w:val="00555540"/>
    <w:rsid w:val="005560A6"/>
    <w:rsid w:val="005563DF"/>
    <w:rsid w:val="005569A0"/>
    <w:rsid w:val="00560BC5"/>
    <w:rsid w:val="0056743E"/>
    <w:rsid w:val="00571533"/>
    <w:rsid w:val="0057695F"/>
    <w:rsid w:val="00582882"/>
    <w:rsid w:val="00587948"/>
    <w:rsid w:val="00587D18"/>
    <w:rsid w:val="00595293"/>
    <w:rsid w:val="00597F45"/>
    <w:rsid w:val="005A1BD3"/>
    <w:rsid w:val="005A3597"/>
    <w:rsid w:val="005B7FF6"/>
    <w:rsid w:val="005C2CE2"/>
    <w:rsid w:val="005C73E8"/>
    <w:rsid w:val="005D6572"/>
    <w:rsid w:val="005D7D20"/>
    <w:rsid w:val="005E546A"/>
    <w:rsid w:val="005E5549"/>
    <w:rsid w:val="005E5C26"/>
    <w:rsid w:val="005F5392"/>
    <w:rsid w:val="005F67F4"/>
    <w:rsid w:val="005F7ED9"/>
    <w:rsid w:val="006005FB"/>
    <w:rsid w:val="00605F1C"/>
    <w:rsid w:val="006204F5"/>
    <w:rsid w:val="00622107"/>
    <w:rsid w:val="006224E0"/>
    <w:rsid w:val="006226BC"/>
    <w:rsid w:val="0062334B"/>
    <w:rsid w:val="00623419"/>
    <w:rsid w:val="0062640B"/>
    <w:rsid w:val="00627747"/>
    <w:rsid w:val="0062784E"/>
    <w:rsid w:val="00627B43"/>
    <w:rsid w:val="00631680"/>
    <w:rsid w:val="006349F2"/>
    <w:rsid w:val="006360D0"/>
    <w:rsid w:val="006413D4"/>
    <w:rsid w:val="00645C57"/>
    <w:rsid w:val="006478E2"/>
    <w:rsid w:val="0065087E"/>
    <w:rsid w:val="006541C5"/>
    <w:rsid w:val="0066071C"/>
    <w:rsid w:val="00673300"/>
    <w:rsid w:val="00673A77"/>
    <w:rsid w:val="006762DF"/>
    <w:rsid w:val="00690ABC"/>
    <w:rsid w:val="00690FEE"/>
    <w:rsid w:val="006928C1"/>
    <w:rsid w:val="00696990"/>
    <w:rsid w:val="00697661"/>
    <w:rsid w:val="006A0269"/>
    <w:rsid w:val="006A2FDF"/>
    <w:rsid w:val="006A3BE4"/>
    <w:rsid w:val="006A5E82"/>
    <w:rsid w:val="006B4DBF"/>
    <w:rsid w:val="006B62EF"/>
    <w:rsid w:val="006C1BE3"/>
    <w:rsid w:val="006C24D8"/>
    <w:rsid w:val="006C2F29"/>
    <w:rsid w:val="006C4F76"/>
    <w:rsid w:val="006C5D0F"/>
    <w:rsid w:val="006C7A99"/>
    <w:rsid w:val="006D047E"/>
    <w:rsid w:val="006D39F8"/>
    <w:rsid w:val="006D4B2F"/>
    <w:rsid w:val="006D4C7D"/>
    <w:rsid w:val="006E41EE"/>
    <w:rsid w:val="006E65C8"/>
    <w:rsid w:val="006F3B52"/>
    <w:rsid w:val="006F5702"/>
    <w:rsid w:val="006F5A94"/>
    <w:rsid w:val="006F67D2"/>
    <w:rsid w:val="007056C5"/>
    <w:rsid w:val="00712A5B"/>
    <w:rsid w:val="007222A4"/>
    <w:rsid w:val="00724A68"/>
    <w:rsid w:val="00730C30"/>
    <w:rsid w:val="00734A9A"/>
    <w:rsid w:val="0073526B"/>
    <w:rsid w:val="007416BB"/>
    <w:rsid w:val="007422B8"/>
    <w:rsid w:val="00747631"/>
    <w:rsid w:val="00751D03"/>
    <w:rsid w:val="007521A8"/>
    <w:rsid w:val="007537C5"/>
    <w:rsid w:val="00762031"/>
    <w:rsid w:val="00767DD7"/>
    <w:rsid w:val="00772EDF"/>
    <w:rsid w:val="00776E61"/>
    <w:rsid w:val="007774FD"/>
    <w:rsid w:val="00784D54"/>
    <w:rsid w:val="0078510B"/>
    <w:rsid w:val="00785D01"/>
    <w:rsid w:val="00787294"/>
    <w:rsid w:val="0078773E"/>
    <w:rsid w:val="00790427"/>
    <w:rsid w:val="00796B22"/>
    <w:rsid w:val="007A0B65"/>
    <w:rsid w:val="007A5530"/>
    <w:rsid w:val="007B43DD"/>
    <w:rsid w:val="007B64E7"/>
    <w:rsid w:val="007B6A65"/>
    <w:rsid w:val="007D2E91"/>
    <w:rsid w:val="007E1EE2"/>
    <w:rsid w:val="007E50D5"/>
    <w:rsid w:val="007F1246"/>
    <w:rsid w:val="007F1404"/>
    <w:rsid w:val="007F1703"/>
    <w:rsid w:val="007F17A3"/>
    <w:rsid w:val="007F191F"/>
    <w:rsid w:val="007F4DDB"/>
    <w:rsid w:val="00803890"/>
    <w:rsid w:val="008042EE"/>
    <w:rsid w:val="00807516"/>
    <w:rsid w:val="00816D1C"/>
    <w:rsid w:val="00817DA6"/>
    <w:rsid w:val="008237A2"/>
    <w:rsid w:val="00823A24"/>
    <w:rsid w:val="0082581B"/>
    <w:rsid w:val="00830736"/>
    <w:rsid w:val="008309A4"/>
    <w:rsid w:val="00833D2C"/>
    <w:rsid w:val="00833ED6"/>
    <w:rsid w:val="008512FB"/>
    <w:rsid w:val="00855CD7"/>
    <w:rsid w:val="00865424"/>
    <w:rsid w:val="00877766"/>
    <w:rsid w:val="00880E03"/>
    <w:rsid w:val="0088384F"/>
    <w:rsid w:val="0088460A"/>
    <w:rsid w:val="00884622"/>
    <w:rsid w:val="00890A9E"/>
    <w:rsid w:val="008965DD"/>
    <w:rsid w:val="008A07F6"/>
    <w:rsid w:val="008A4A7C"/>
    <w:rsid w:val="008A75F0"/>
    <w:rsid w:val="008B2C82"/>
    <w:rsid w:val="008B3C50"/>
    <w:rsid w:val="008B3D44"/>
    <w:rsid w:val="008B54C9"/>
    <w:rsid w:val="008B7693"/>
    <w:rsid w:val="008C1D75"/>
    <w:rsid w:val="008C7412"/>
    <w:rsid w:val="008C7C3A"/>
    <w:rsid w:val="008D1ED0"/>
    <w:rsid w:val="008D5511"/>
    <w:rsid w:val="008D6DC9"/>
    <w:rsid w:val="008D7F72"/>
    <w:rsid w:val="008F28A2"/>
    <w:rsid w:val="00901EA2"/>
    <w:rsid w:val="0090439A"/>
    <w:rsid w:val="0090715B"/>
    <w:rsid w:val="00913A14"/>
    <w:rsid w:val="009141BA"/>
    <w:rsid w:val="00922C7D"/>
    <w:rsid w:val="009240B8"/>
    <w:rsid w:val="0093797C"/>
    <w:rsid w:val="009379BC"/>
    <w:rsid w:val="00944BB4"/>
    <w:rsid w:val="00945D45"/>
    <w:rsid w:val="009471F9"/>
    <w:rsid w:val="009626A0"/>
    <w:rsid w:val="009665AE"/>
    <w:rsid w:val="009769BC"/>
    <w:rsid w:val="00982A18"/>
    <w:rsid w:val="0098750C"/>
    <w:rsid w:val="00987548"/>
    <w:rsid w:val="0099729D"/>
    <w:rsid w:val="009A0D88"/>
    <w:rsid w:val="009A3A39"/>
    <w:rsid w:val="009A42A5"/>
    <w:rsid w:val="009A5458"/>
    <w:rsid w:val="009A7BD2"/>
    <w:rsid w:val="009A7DE9"/>
    <w:rsid w:val="009B1BF4"/>
    <w:rsid w:val="009B7E9A"/>
    <w:rsid w:val="009C2179"/>
    <w:rsid w:val="009C4F0A"/>
    <w:rsid w:val="009C676C"/>
    <w:rsid w:val="009D33BB"/>
    <w:rsid w:val="009D37A0"/>
    <w:rsid w:val="009E05DA"/>
    <w:rsid w:val="009E070F"/>
    <w:rsid w:val="009E283D"/>
    <w:rsid w:val="009F079A"/>
    <w:rsid w:val="009F0E4B"/>
    <w:rsid w:val="009F42A9"/>
    <w:rsid w:val="009F6A89"/>
    <w:rsid w:val="00A06018"/>
    <w:rsid w:val="00A07E8E"/>
    <w:rsid w:val="00A10014"/>
    <w:rsid w:val="00A13114"/>
    <w:rsid w:val="00A138CC"/>
    <w:rsid w:val="00A1587A"/>
    <w:rsid w:val="00A35355"/>
    <w:rsid w:val="00A37F03"/>
    <w:rsid w:val="00A44772"/>
    <w:rsid w:val="00A45377"/>
    <w:rsid w:val="00A46D4D"/>
    <w:rsid w:val="00A508C9"/>
    <w:rsid w:val="00A52D8D"/>
    <w:rsid w:val="00A536F9"/>
    <w:rsid w:val="00A57453"/>
    <w:rsid w:val="00A576A0"/>
    <w:rsid w:val="00A6435E"/>
    <w:rsid w:val="00A66F47"/>
    <w:rsid w:val="00A67AD6"/>
    <w:rsid w:val="00A72704"/>
    <w:rsid w:val="00A7764D"/>
    <w:rsid w:val="00A77653"/>
    <w:rsid w:val="00A801FD"/>
    <w:rsid w:val="00A815BA"/>
    <w:rsid w:val="00A84D1D"/>
    <w:rsid w:val="00A85062"/>
    <w:rsid w:val="00AA0BE3"/>
    <w:rsid w:val="00AA4FB6"/>
    <w:rsid w:val="00AB2742"/>
    <w:rsid w:val="00AC00B6"/>
    <w:rsid w:val="00AC01F7"/>
    <w:rsid w:val="00AC5668"/>
    <w:rsid w:val="00AD3924"/>
    <w:rsid w:val="00AD5F99"/>
    <w:rsid w:val="00AD7F84"/>
    <w:rsid w:val="00AE011F"/>
    <w:rsid w:val="00AF24AD"/>
    <w:rsid w:val="00AF650E"/>
    <w:rsid w:val="00B01963"/>
    <w:rsid w:val="00B019BB"/>
    <w:rsid w:val="00B038B0"/>
    <w:rsid w:val="00B06226"/>
    <w:rsid w:val="00B114E1"/>
    <w:rsid w:val="00B11DDC"/>
    <w:rsid w:val="00B120FB"/>
    <w:rsid w:val="00B13B31"/>
    <w:rsid w:val="00B13E06"/>
    <w:rsid w:val="00B147E4"/>
    <w:rsid w:val="00B163F3"/>
    <w:rsid w:val="00B20D41"/>
    <w:rsid w:val="00B21F8F"/>
    <w:rsid w:val="00B230E8"/>
    <w:rsid w:val="00B31BDA"/>
    <w:rsid w:val="00B339C7"/>
    <w:rsid w:val="00B4070F"/>
    <w:rsid w:val="00B40B31"/>
    <w:rsid w:val="00B43EE5"/>
    <w:rsid w:val="00B44AF5"/>
    <w:rsid w:val="00B47CA2"/>
    <w:rsid w:val="00B50FA0"/>
    <w:rsid w:val="00B51249"/>
    <w:rsid w:val="00B559E1"/>
    <w:rsid w:val="00B56C69"/>
    <w:rsid w:val="00B5739F"/>
    <w:rsid w:val="00B6338A"/>
    <w:rsid w:val="00B72D61"/>
    <w:rsid w:val="00B7387F"/>
    <w:rsid w:val="00B80574"/>
    <w:rsid w:val="00B91E25"/>
    <w:rsid w:val="00BA199E"/>
    <w:rsid w:val="00BA33F5"/>
    <w:rsid w:val="00BA6F00"/>
    <w:rsid w:val="00BB5933"/>
    <w:rsid w:val="00BC16B7"/>
    <w:rsid w:val="00BC22F0"/>
    <w:rsid w:val="00BD097B"/>
    <w:rsid w:val="00BD151E"/>
    <w:rsid w:val="00BD239D"/>
    <w:rsid w:val="00BD2537"/>
    <w:rsid w:val="00BD5401"/>
    <w:rsid w:val="00BE2C5C"/>
    <w:rsid w:val="00BE6E7F"/>
    <w:rsid w:val="00BF0F8F"/>
    <w:rsid w:val="00BF179A"/>
    <w:rsid w:val="00BF514E"/>
    <w:rsid w:val="00C0067F"/>
    <w:rsid w:val="00C017DC"/>
    <w:rsid w:val="00C051A3"/>
    <w:rsid w:val="00C1192C"/>
    <w:rsid w:val="00C140CD"/>
    <w:rsid w:val="00C15F2A"/>
    <w:rsid w:val="00C22FDE"/>
    <w:rsid w:val="00C238AA"/>
    <w:rsid w:val="00C404C9"/>
    <w:rsid w:val="00C4178C"/>
    <w:rsid w:val="00C45465"/>
    <w:rsid w:val="00C464A3"/>
    <w:rsid w:val="00C472CE"/>
    <w:rsid w:val="00C561F6"/>
    <w:rsid w:val="00C5638D"/>
    <w:rsid w:val="00C57C00"/>
    <w:rsid w:val="00C65D7C"/>
    <w:rsid w:val="00C66E90"/>
    <w:rsid w:val="00C67988"/>
    <w:rsid w:val="00C74DFD"/>
    <w:rsid w:val="00C80549"/>
    <w:rsid w:val="00C80BAC"/>
    <w:rsid w:val="00C90ABF"/>
    <w:rsid w:val="00C92A36"/>
    <w:rsid w:val="00C9307A"/>
    <w:rsid w:val="00C9554C"/>
    <w:rsid w:val="00C9599E"/>
    <w:rsid w:val="00C96ADF"/>
    <w:rsid w:val="00CA4840"/>
    <w:rsid w:val="00CA5B66"/>
    <w:rsid w:val="00CA77C4"/>
    <w:rsid w:val="00CB0F6A"/>
    <w:rsid w:val="00CB617C"/>
    <w:rsid w:val="00CB645F"/>
    <w:rsid w:val="00CB6C27"/>
    <w:rsid w:val="00CC0D85"/>
    <w:rsid w:val="00CD06D7"/>
    <w:rsid w:val="00CD07FF"/>
    <w:rsid w:val="00CD1784"/>
    <w:rsid w:val="00CD61F7"/>
    <w:rsid w:val="00CD6350"/>
    <w:rsid w:val="00CE006A"/>
    <w:rsid w:val="00CE3F8D"/>
    <w:rsid w:val="00CE4BDE"/>
    <w:rsid w:val="00CE6744"/>
    <w:rsid w:val="00CF1782"/>
    <w:rsid w:val="00D012E6"/>
    <w:rsid w:val="00D13D26"/>
    <w:rsid w:val="00D14521"/>
    <w:rsid w:val="00D15055"/>
    <w:rsid w:val="00D16488"/>
    <w:rsid w:val="00D242E3"/>
    <w:rsid w:val="00D3406B"/>
    <w:rsid w:val="00D4105B"/>
    <w:rsid w:val="00D41400"/>
    <w:rsid w:val="00D42503"/>
    <w:rsid w:val="00D4438C"/>
    <w:rsid w:val="00D45068"/>
    <w:rsid w:val="00D47AD2"/>
    <w:rsid w:val="00D551ED"/>
    <w:rsid w:val="00D60899"/>
    <w:rsid w:val="00D60BE0"/>
    <w:rsid w:val="00D60C99"/>
    <w:rsid w:val="00D66505"/>
    <w:rsid w:val="00D66EC6"/>
    <w:rsid w:val="00D73238"/>
    <w:rsid w:val="00D73661"/>
    <w:rsid w:val="00D73874"/>
    <w:rsid w:val="00D74431"/>
    <w:rsid w:val="00D92AC9"/>
    <w:rsid w:val="00D95BA8"/>
    <w:rsid w:val="00D960A4"/>
    <w:rsid w:val="00DA3FEF"/>
    <w:rsid w:val="00DA7008"/>
    <w:rsid w:val="00DB12A7"/>
    <w:rsid w:val="00DB2C93"/>
    <w:rsid w:val="00DB70E2"/>
    <w:rsid w:val="00DC0DAC"/>
    <w:rsid w:val="00DC19CD"/>
    <w:rsid w:val="00DC2A64"/>
    <w:rsid w:val="00DC6946"/>
    <w:rsid w:val="00DC7794"/>
    <w:rsid w:val="00DD04A0"/>
    <w:rsid w:val="00DD2F8E"/>
    <w:rsid w:val="00DD6BCB"/>
    <w:rsid w:val="00DE0D14"/>
    <w:rsid w:val="00DE2354"/>
    <w:rsid w:val="00DE5B64"/>
    <w:rsid w:val="00DF11C3"/>
    <w:rsid w:val="00DF5BDE"/>
    <w:rsid w:val="00E02FB6"/>
    <w:rsid w:val="00E060E9"/>
    <w:rsid w:val="00E1072C"/>
    <w:rsid w:val="00E1095A"/>
    <w:rsid w:val="00E10B6D"/>
    <w:rsid w:val="00E14FED"/>
    <w:rsid w:val="00E16429"/>
    <w:rsid w:val="00E17EB1"/>
    <w:rsid w:val="00E21477"/>
    <w:rsid w:val="00E21536"/>
    <w:rsid w:val="00E24453"/>
    <w:rsid w:val="00E2533A"/>
    <w:rsid w:val="00E30BF5"/>
    <w:rsid w:val="00E336CD"/>
    <w:rsid w:val="00E365A2"/>
    <w:rsid w:val="00E536AB"/>
    <w:rsid w:val="00E54A7E"/>
    <w:rsid w:val="00E655B9"/>
    <w:rsid w:val="00E66D2A"/>
    <w:rsid w:val="00E77D97"/>
    <w:rsid w:val="00E81508"/>
    <w:rsid w:val="00E8326E"/>
    <w:rsid w:val="00E840CE"/>
    <w:rsid w:val="00E943CC"/>
    <w:rsid w:val="00E94716"/>
    <w:rsid w:val="00E95CDD"/>
    <w:rsid w:val="00E961E3"/>
    <w:rsid w:val="00E973C9"/>
    <w:rsid w:val="00EA2451"/>
    <w:rsid w:val="00EA5037"/>
    <w:rsid w:val="00EA5FB6"/>
    <w:rsid w:val="00EA6AA1"/>
    <w:rsid w:val="00EB1C80"/>
    <w:rsid w:val="00EB3FB5"/>
    <w:rsid w:val="00EC4CC0"/>
    <w:rsid w:val="00ED2359"/>
    <w:rsid w:val="00ED2677"/>
    <w:rsid w:val="00ED46E7"/>
    <w:rsid w:val="00ED6B99"/>
    <w:rsid w:val="00EE188F"/>
    <w:rsid w:val="00EE18BA"/>
    <w:rsid w:val="00EE490B"/>
    <w:rsid w:val="00EF1EC8"/>
    <w:rsid w:val="00EF51C4"/>
    <w:rsid w:val="00EF7F3A"/>
    <w:rsid w:val="00F12C81"/>
    <w:rsid w:val="00F151DE"/>
    <w:rsid w:val="00F16253"/>
    <w:rsid w:val="00F22445"/>
    <w:rsid w:val="00F244FF"/>
    <w:rsid w:val="00F30A46"/>
    <w:rsid w:val="00F32302"/>
    <w:rsid w:val="00F329B7"/>
    <w:rsid w:val="00F37CDC"/>
    <w:rsid w:val="00F406F8"/>
    <w:rsid w:val="00F40748"/>
    <w:rsid w:val="00F40A2E"/>
    <w:rsid w:val="00F4389E"/>
    <w:rsid w:val="00F45EE3"/>
    <w:rsid w:val="00F51761"/>
    <w:rsid w:val="00F51BA3"/>
    <w:rsid w:val="00F52862"/>
    <w:rsid w:val="00F52B3D"/>
    <w:rsid w:val="00F5572F"/>
    <w:rsid w:val="00F606F6"/>
    <w:rsid w:val="00F6071A"/>
    <w:rsid w:val="00F617EE"/>
    <w:rsid w:val="00F744E4"/>
    <w:rsid w:val="00F753DD"/>
    <w:rsid w:val="00F76905"/>
    <w:rsid w:val="00F82933"/>
    <w:rsid w:val="00F96F3E"/>
    <w:rsid w:val="00F97DF4"/>
    <w:rsid w:val="00FA2D6F"/>
    <w:rsid w:val="00FA3C8F"/>
    <w:rsid w:val="00FA7F87"/>
    <w:rsid w:val="00FB0294"/>
    <w:rsid w:val="00FB77FB"/>
    <w:rsid w:val="00FC0F24"/>
    <w:rsid w:val="00FC6C28"/>
    <w:rsid w:val="00FC7498"/>
    <w:rsid w:val="00FD0264"/>
    <w:rsid w:val="00FD0A1E"/>
    <w:rsid w:val="00FD0EBC"/>
    <w:rsid w:val="00FD11BE"/>
    <w:rsid w:val="00FD4545"/>
    <w:rsid w:val="00FD5AC6"/>
    <w:rsid w:val="00FD6B5B"/>
    <w:rsid w:val="00FE11D4"/>
    <w:rsid w:val="00FE1E11"/>
    <w:rsid w:val="00FE3C7A"/>
    <w:rsid w:val="00FE65BC"/>
    <w:rsid w:val="00FF0FF2"/>
    <w:rsid w:val="00FF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F6F14"/>
  <w15:docId w15:val="{4FDD357D-FFF3-44FD-A95F-81487C4C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21"/>
    <w:rPr>
      <w:sz w:val="24"/>
      <w:lang w:val="en-CA"/>
    </w:rPr>
  </w:style>
  <w:style w:type="paragraph" w:styleId="Heading1">
    <w:name w:val="heading 1"/>
    <w:basedOn w:val="Normal"/>
    <w:next w:val="Normal"/>
    <w:link w:val="Heading1Char"/>
    <w:uiPriority w:val="9"/>
    <w:qFormat/>
    <w:rsid w:val="00ED6B99"/>
    <w:pPr>
      <w:keepNext/>
      <w:keepLines/>
      <w:spacing w:before="24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22A4"/>
    <w:pPr>
      <w:keepNext/>
      <w:keepLines/>
      <w:spacing w:before="200" w:after="0"/>
      <w:outlineLvl w:val="1"/>
    </w:pPr>
    <w:rPr>
      <w:rFonts w:ascii="Calibri" w:eastAsiaTheme="majorEastAsia" w:hAnsi="Calibri" w:cstheme="majorBidi"/>
      <w:b/>
      <w:bCs/>
      <w:color w:val="4F81BD" w:themeColor="accent1"/>
      <w:sz w:val="26"/>
      <w:szCs w:val="26"/>
    </w:rPr>
  </w:style>
  <w:style w:type="paragraph" w:styleId="Heading3">
    <w:name w:val="heading 3"/>
    <w:basedOn w:val="Normal"/>
    <w:link w:val="Heading3Char"/>
    <w:uiPriority w:val="9"/>
    <w:qFormat/>
    <w:rsid w:val="00210806"/>
    <w:pPr>
      <w:spacing w:before="240" w:after="120" w:line="240" w:lineRule="auto"/>
      <w:outlineLvl w:val="2"/>
    </w:pPr>
    <w:rPr>
      <w:rFonts w:asciiTheme="majorHAnsi" w:eastAsia="Times New Roman" w:hAnsiTheme="majorHAnsi" w:cs="Times New Roman"/>
      <w:b/>
      <w:bCs/>
      <w:i/>
      <w:color w:val="111315"/>
      <w:szCs w:val="30"/>
    </w:rPr>
  </w:style>
  <w:style w:type="paragraph" w:styleId="Heading4">
    <w:name w:val="heading 4"/>
    <w:basedOn w:val="Normal"/>
    <w:next w:val="Normal"/>
    <w:link w:val="Heading4Char"/>
    <w:uiPriority w:val="9"/>
    <w:unhideWhenUsed/>
    <w:qFormat/>
    <w:rsid w:val="00673A7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653"/>
  </w:style>
  <w:style w:type="paragraph" w:styleId="Footer">
    <w:name w:val="footer"/>
    <w:basedOn w:val="Normal"/>
    <w:link w:val="FooterChar"/>
    <w:uiPriority w:val="99"/>
    <w:unhideWhenUsed/>
    <w:rsid w:val="00A7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653"/>
  </w:style>
  <w:style w:type="paragraph" w:styleId="BalloonText">
    <w:name w:val="Balloon Text"/>
    <w:basedOn w:val="Normal"/>
    <w:link w:val="BalloonTextChar"/>
    <w:uiPriority w:val="99"/>
    <w:semiHidden/>
    <w:unhideWhenUsed/>
    <w:rsid w:val="00A77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653"/>
    <w:rPr>
      <w:rFonts w:ascii="Tahoma" w:hAnsi="Tahoma" w:cs="Tahoma"/>
      <w:sz w:val="16"/>
      <w:szCs w:val="16"/>
    </w:rPr>
  </w:style>
  <w:style w:type="paragraph" w:styleId="NormalWeb">
    <w:name w:val="Normal (Web)"/>
    <w:basedOn w:val="Normal"/>
    <w:uiPriority w:val="99"/>
    <w:unhideWhenUsed/>
    <w:rsid w:val="00324CCA"/>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C9554C"/>
    <w:pPr>
      <w:ind w:left="720"/>
      <w:contextualSpacing/>
    </w:pPr>
  </w:style>
  <w:style w:type="character" w:styleId="Hyperlink">
    <w:name w:val="Hyperlink"/>
    <w:basedOn w:val="DefaultParagraphFont"/>
    <w:uiPriority w:val="99"/>
    <w:unhideWhenUsed/>
    <w:rsid w:val="000346D6"/>
    <w:rPr>
      <w:rFonts w:asciiTheme="minorHAnsi" w:hAnsiTheme="minorHAnsi"/>
      <w:color w:val="0000FF" w:themeColor="hyperlink"/>
      <w:sz w:val="24"/>
      <w:u w:val="single"/>
    </w:rPr>
  </w:style>
  <w:style w:type="character" w:customStyle="1" w:styleId="Heading3Char">
    <w:name w:val="Heading 3 Char"/>
    <w:basedOn w:val="DefaultParagraphFont"/>
    <w:link w:val="Heading3"/>
    <w:uiPriority w:val="9"/>
    <w:rsid w:val="00210806"/>
    <w:rPr>
      <w:rFonts w:asciiTheme="majorHAnsi" w:eastAsia="Times New Roman" w:hAnsiTheme="majorHAnsi" w:cs="Times New Roman"/>
      <w:b/>
      <w:bCs/>
      <w:i/>
      <w:color w:val="111315"/>
      <w:sz w:val="24"/>
      <w:szCs w:val="30"/>
    </w:rPr>
  </w:style>
  <w:style w:type="character" w:styleId="Emphasis">
    <w:name w:val="Emphasis"/>
    <w:basedOn w:val="DefaultParagraphFont"/>
    <w:uiPriority w:val="20"/>
    <w:qFormat/>
    <w:rsid w:val="002E2B3F"/>
    <w:rPr>
      <w:i/>
      <w:iCs/>
    </w:rPr>
  </w:style>
  <w:style w:type="character" w:customStyle="1" w:styleId="dropcap1">
    <w:name w:val="dropcap1"/>
    <w:basedOn w:val="DefaultParagraphFont"/>
    <w:rsid w:val="002E2B3F"/>
    <w:rPr>
      <w:rFonts w:ascii="Georgia" w:hAnsi="Georgia" w:hint="default"/>
      <w:b/>
      <w:bCs/>
      <w:sz w:val="37"/>
      <w:szCs w:val="37"/>
    </w:rPr>
  </w:style>
  <w:style w:type="character" w:styleId="FollowedHyperlink">
    <w:name w:val="FollowedHyperlink"/>
    <w:basedOn w:val="DefaultParagraphFont"/>
    <w:uiPriority w:val="99"/>
    <w:semiHidden/>
    <w:unhideWhenUsed/>
    <w:rsid w:val="007F191F"/>
    <w:rPr>
      <w:color w:val="800080" w:themeColor="followedHyperlink"/>
      <w:u w:val="single"/>
    </w:rPr>
  </w:style>
  <w:style w:type="paragraph" w:styleId="FootnoteText">
    <w:name w:val="footnote text"/>
    <w:basedOn w:val="Normal"/>
    <w:link w:val="FootnoteTextChar"/>
    <w:uiPriority w:val="99"/>
    <w:semiHidden/>
    <w:unhideWhenUsed/>
    <w:rsid w:val="00162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B72"/>
    <w:rPr>
      <w:sz w:val="20"/>
      <w:szCs w:val="20"/>
    </w:rPr>
  </w:style>
  <w:style w:type="character" w:styleId="FootnoteReference">
    <w:name w:val="footnote reference"/>
    <w:basedOn w:val="DefaultParagraphFont"/>
    <w:uiPriority w:val="99"/>
    <w:semiHidden/>
    <w:unhideWhenUsed/>
    <w:rsid w:val="00162B72"/>
    <w:rPr>
      <w:vertAlign w:val="superscript"/>
    </w:rPr>
  </w:style>
  <w:style w:type="paragraph" w:customStyle="1" w:styleId="serif">
    <w:name w:val="serif"/>
    <w:basedOn w:val="Normal"/>
    <w:rsid w:val="00162B72"/>
    <w:pPr>
      <w:spacing w:after="307" w:line="240" w:lineRule="auto"/>
    </w:pPr>
    <w:rPr>
      <w:rFonts w:ascii="Georgia" w:eastAsia="Times New Roman" w:hAnsi="Georgia" w:cs="Times New Roman"/>
      <w:sz w:val="23"/>
      <w:szCs w:val="23"/>
    </w:rPr>
  </w:style>
  <w:style w:type="character" w:styleId="Strong">
    <w:name w:val="Strong"/>
    <w:basedOn w:val="DefaultParagraphFont"/>
    <w:uiPriority w:val="22"/>
    <w:qFormat/>
    <w:rsid w:val="00162B72"/>
    <w:rPr>
      <w:b/>
      <w:bCs/>
    </w:rPr>
  </w:style>
  <w:style w:type="character" w:styleId="CommentReference">
    <w:name w:val="annotation reference"/>
    <w:basedOn w:val="DefaultParagraphFont"/>
    <w:uiPriority w:val="99"/>
    <w:semiHidden/>
    <w:unhideWhenUsed/>
    <w:rsid w:val="00762031"/>
    <w:rPr>
      <w:sz w:val="16"/>
      <w:szCs w:val="16"/>
    </w:rPr>
  </w:style>
  <w:style w:type="paragraph" w:styleId="CommentText">
    <w:name w:val="annotation text"/>
    <w:basedOn w:val="Normal"/>
    <w:link w:val="CommentTextChar"/>
    <w:uiPriority w:val="99"/>
    <w:semiHidden/>
    <w:unhideWhenUsed/>
    <w:rsid w:val="00762031"/>
    <w:pPr>
      <w:spacing w:line="240" w:lineRule="auto"/>
    </w:pPr>
    <w:rPr>
      <w:sz w:val="20"/>
      <w:szCs w:val="20"/>
    </w:rPr>
  </w:style>
  <w:style w:type="character" w:customStyle="1" w:styleId="CommentTextChar">
    <w:name w:val="Comment Text Char"/>
    <w:basedOn w:val="DefaultParagraphFont"/>
    <w:link w:val="CommentText"/>
    <w:uiPriority w:val="99"/>
    <w:semiHidden/>
    <w:rsid w:val="00762031"/>
    <w:rPr>
      <w:sz w:val="20"/>
      <w:szCs w:val="20"/>
    </w:rPr>
  </w:style>
  <w:style w:type="paragraph" w:styleId="CommentSubject">
    <w:name w:val="annotation subject"/>
    <w:basedOn w:val="CommentText"/>
    <w:next w:val="CommentText"/>
    <w:link w:val="CommentSubjectChar"/>
    <w:uiPriority w:val="99"/>
    <w:semiHidden/>
    <w:unhideWhenUsed/>
    <w:rsid w:val="00762031"/>
    <w:rPr>
      <w:b/>
      <w:bCs/>
    </w:rPr>
  </w:style>
  <w:style w:type="character" w:customStyle="1" w:styleId="CommentSubjectChar">
    <w:name w:val="Comment Subject Char"/>
    <w:basedOn w:val="CommentTextChar"/>
    <w:link w:val="CommentSubject"/>
    <w:uiPriority w:val="99"/>
    <w:semiHidden/>
    <w:rsid w:val="00762031"/>
    <w:rPr>
      <w:b/>
      <w:bCs/>
      <w:sz w:val="20"/>
      <w:szCs w:val="20"/>
    </w:rPr>
  </w:style>
  <w:style w:type="character" w:customStyle="1" w:styleId="Heading1Char">
    <w:name w:val="Heading 1 Char"/>
    <w:basedOn w:val="DefaultParagraphFont"/>
    <w:link w:val="Heading1"/>
    <w:uiPriority w:val="9"/>
    <w:rsid w:val="00ED6B99"/>
    <w:rPr>
      <w:rFonts w:asciiTheme="majorHAnsi" w:eastAsiaTheme="majorEastAsia" w:hAnsiTheme="majorHAnsi" w:cstheme="majorBidi"/>
      <w:b/>
      <w:bCs/>
      <w:color w:val="365F91" w:themeColor="accent1" w:themeShade="BF"/>
      <w:sz w:val="28"/>
      <w:szCs w:val="28"/>
      <w:lang w:val="en-CA"/>
    </w:rPr>
  </w:style>
  <w:style w:type="paragraph" w:styleId="Title">
    <w:name w:val="Title"/>
    <w:basedOn w:val="Normal"/>
    <w:link w:val="TitleChar"/>
    <w:qFormat/>
    <w:rsid w:val="00061F6B"/>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061F6B"/>
    <w:rPr>
      <w:rFonts w:ascii="Times New Roman" w:eastAsia="Times New Roman" w:hAnsi="Times New Roman" w:cs="Times New Roman"/>
      <w:b/>
      <w:bCs/>
      <w:sz w:val="32"/>
      <w:szCs w:val="24"/>
      <w:u w:val="single"/>
      <w:lang w:val="en-CA"/>
    </w:rPr>
  </w:style>
  <w:style w:type="paragraph" w:styleId="Subtitle">
    <w:name w:val="Subtitle"/>
    <w:basedOn w:val="Normal"/>
    <w:link w:val="SubtitleChar"/>
    <w:qFormat/>
    <w:rsid w:val="00061F6B"/>
    <w:pPr>
      <w:spacing w:after="0" w:line="240" w:lineRule="auto"/>
    </w:pPr>
    <w:rPr>
      <w:rFonts w:ascii="Times New Roman" w:eastAsia="Times New Roman" w:hAnsi="Times New Roman" w:cs="Times New Roman"/>
      <w:i/>
      <w:iCs/>
      <w:szCs w:val="24"/>
    </w:rPr>
  </w:style>
  <w:style w:type="character" w:customStyle="1" w:styleId="SubtitleChar">
    <w:name w:val="Subtitle Char"/>
    <w:basedOn w:val="DefaultParagraphFont"/>
    <w:link w:val="Subtitle"/>
    <w:rsid w:val="00061F6B"/>
    <w:rPr>
      <w:rFonts w:ascii="Times New Roman" w:eastAsia="Times New Roman" w:hAnsi="Times New Roman" w:cs="Times New Roman"/>
      <w:i/>
      <w:iCs/>
      <w:sz w:val="24"/>
      <w:szCs w:val="24"/>
      <w:lang w:val="en-CA"/>
    </w:rPr>
  </w:style>
  <w:style w:type="character" w:customStyle="1" w:styleId="date-display-single">
    <w:name w:val="date-display-single"/>
    <w:basedOn w:val="DefaultParagraphFont"/>
    <w:rsid w:val="00E973C9"/>
  </w:style>
  <w:style w:type="paragraph" w:styleId="NoSpacing">
    <w:name w:val="No Spacing"/>
    <w:uiPriority w:val="1"/>
    <w:qFormat/>
    <w:rsid w:val="005563DF"/>
    <w:pPr>
      <w:spacing w:after="0" w:line="240" w:lineRule="auto"/>
    </w:pPr>
    <w:rPr>
      <w:rFonts w:ascii="Calibri" w:eastAsia="Calibri" w:hAnsi="Calibri" w:cs="Times New Roman"/>
    </w:rPr>
  </w:style>
  <w:style w:type="paragraph" w:customStyle="1" w:styleId="section-e">
    <w:name w:val="section-e"/>
    <w:basedOn w:val="Normal"/>
    <w:rsid w:val="006204F5"/>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headnote-e">
    <w:name w:val="headnote-e"/>
    <w:basedOn w:val="Normal"/>
    <w:rsid w:val="006204F5"/>
    <w:pPr>
      <w:keepNext/>
      <w:snapToGrid w:val="0"/>
      <w:spacing w:after="0" w:line="240" w:lineRule="auto"/>
    </w:pPr>
    <w:rPr>
      <w:rFonts w:ascii="Times New Roman" w:eastAsia="Times New Roman" w:hAnsi="Times New Roman" w:cs="Times New Roman"/>
      <w:b/>
      <w:bCs/>
      <w:color w:val="000000"/>
      <w:sz w:val="26"/>
      <w:szCs w:val="26"/>
    </w:rPr>
  </w:style>
  <w:style w:type="paragraph" w:styleId="TOCHeading">
    <w:name w:val="TOC Heading"/>
    <w:basedOn w:val="Heading1"/>
    <w:next w:val="Normal"/>
    <w:uiPriority w:val="39"/>
    <w:unhideWhenUsed/>
    <w:qFormat/>
    <w:rsid w:val="00BD151E"/>
    <w:pPr>
      <w:outlineLvl w:val="9"/>
    </w:pPr>
  </w:style>
  <w:style w:type="paragraph" w:styleId="TOC3">
    <w:name w:val="toc 3"/>
    <w:basedOn w:val="Normal"/>
    <w:next w:val="Normal"/>
    <w:autoRedefine/>
    <w:uiPriority w:val="39"/>
    <w:unhideWhenUsed/>
    <w:qFormat/>
    <w:rsid w:val="005569A0"/>
    <w:pPr>
      <w:spacing w:after="100"/>
      <w:ind w:left="1152"/>
    </w:pPr>
  </w:style>
  <w:style w:type="paragraph" w:styleId="TOC1">
    <w:name w:val="toc 1"/>
    <w:basedOn w:val="Normal"/>
    <w:next w:val="Normal"/>
    <w:autoRedefine/>
    <w:uiPriority w:val="39"/>
    <w:unhideWhenUsed/>
    <w:qFormat/>
    <w:rsid w:val="005569A0"/>
    <w:pPr>
      <w:tabs>
        <w:tab w:val="left" w:pos="1100"/>
        <w:tab w:val="right" w:leader="dot" w:pos="9350"/>
      </w:tabs>
      <w:spacing w:after="100"/>
    </w:pPr>
    <w:rPr>
      <w:b/>
      <w:noProof/>
      <w:sz w:val="28"/>
      <w:szCs w:val="24"/>
    </w:rPr>
  </w:style>
  <w:style w:type="character" w:customStyle="1" w:styleId="Heading2Char">
    <w:name w:val="Heading 2 Char"/>
    <w:basedOn w:val="DefaultParagraphFont"/>
    <w:link w:val="Heading2"/>
    <w:uiPriority w:val="9"/>
    <w:rsid w:val="007222A4"/>
    <w:rPr>
      <w:rFonts w:ascii="Calibri" w:eastAsiaTheme="majorEastAsia" w:hAnsi="Calibri" w:cstheme="majorBidi"/>
      <w:b/>
      <w:bCs/>
      <w:color w:val="4F81BD" w:themeColor="accent1"/>
      <w:sz w:val="26"/>
      <w:szCs w:val="26"/>
      <w:lang w:val="en-CA"/>
    </w:rPr>
  </w:style>
  <w:style w:type="paragraph" w:styleId="TOC2">
    <w:name w:val="toc 2"/>
    <w:basedOn w:val="Normal"/>
    <w:next w:val="Normal"/>
    <w:autoRedefine/>
    <w:uiPriority w:val="39"/>
    <w:unhideWhenUsed/>
    <w:qFormat/>
    <w:rsid w:val="005569A0"/>
    <w:pPr>
      <w:tabs>
        <w:tab w:val="right" w:leader="dot" w:pos="9350"/>
      </w:tabs>
      <w:spacing w:after="100" w:line="240" w:lineRule="auto"/>
      <w:ind w:left="720"/>
    </w:pPr>
    <w:rPr>
      <w:rFonts w:eastAsia="Times New Roman"/>
      <w:noProof/>
      <w:sz w:val="26"/>
      <w:szCs w:val="28"/>
    </w:rPr>
  </w:style>
  <w:style w:type="table" w:styleId="LightShading-Accent1">
    <w:name w:val="Light Shading Accent 1"/>
    <w:basedOn w:val="TableNormal"/>
    <w:uiPriority w:val="60"/>
    <w:rsid w:val="00FE3C7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AF24AD"/>
  </w:style>
  <w:style w:type="table" w:customStyle="1" w:styleId="GridTable4-Accent21">
    <w:name w:val="Grid Table 4 - Accent 21"/>
    <w:basedOn w:val="TableNormal"/>
    <w:uiPriority w:val="49"/>
    <w:rsid w:val="00BC22F0"/>
    <w:pPr>
      <w:spacing w:after="0" w:line="240" w:lineRule="auto"/>
    </w:pPr>
    <w:rPr>
      <w:rFonts w:eastAsia="MS Mincho"/>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1C2E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6762DF"/>
    <w:pPr>
      <w:spacing w:line="240" w:lineRule="auto"/>
    </w:pPr>
    <w:rPr>
      <w:i/>
      <w:iCs/>
      <w:color w:val="1F497D" w:themeColor="text2"/>
      <w:sz w:val="18"/>
      <w:szCs w:val="18"/>
    </w:rPr>
  </w:style>
  <w:style w:type="character" w:customStyle="1" w:styleId="Heading4Char">
    <w:name w:val="Heading 4 Char"/>
    <w:basedOn w:val="DefaultParagraphFont"/>
    <w:link w:val="Heading4"/>
    <w:uiPriority w:val="9"/>
    <w:rsid w:val="00673A77"/>
    <w:rPr>
      <w:rFonts w:asciiTheme="majorHAnsi" w:eastAsiaTheme="majorEastAsia" w:hAnsiTheme="majorHAnsi" w:cstheme="majorBidi"/>
      <w:i/>
      <w:iCs/>
      <w:color w:val="365F91" w:themeColor="accent1" w:themeShade="BF"/>
      <w:sz w:val="24"/>
      <w:lang w:val="en-CA"/>
    </w:rPr>
  </w:style>
  <w:style w:type="paragraph" w:styleId="EndnoteText">
    <w:name w:val="endnote text"/>
    <w:basedOn w:val="Normal"/>
    <w:link w:val="EndnoteTextChar"/>
    <w:uiPriority w:val="99"/>
    <w:semiHidden/>
    <w:unhideWhenUsed/>
    <w:rsid w:val="00457A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7A76"/>
    <w:rPr>
      <w:sz w:val="20"/>
      <w:szCs w:val="20"/>
      <w:lang w:val="en-CA"/>
    </w:rPr>
  </w:style>
  <w:style w:type="character" w:styleId="EndnoteReference">
    <w:name w:val="endnote reference"/>
    <w:basedOn w:val="DefaultParagraphFont"/>
    <w:uiPriority w:val="99"/>
    <w:semiHidden/>
    <w:unhideWhenUsed/>
    <w:rsid w:val="00457A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5009">
      <w:bodyDiv w:val="1"/>
      <w:marLeft w:val="0"/>
      <w:marRight w:val="0"/>
      <w:marTop w:val="0"/>
      <w:marBottom w:val="0"/>
      <w:divBdr>
        <w:top w:val="none" w:sz="0" w:space="0" w:color="auto"/>
        <w:left w:val="none" w:sz="0" w:space="0" w:color="auto"/>
        <w:bottom w:val="none" w:sz="0" w:space="0" w:color="auto"/>
        <w:right w:val="none" w:sz="0" w:space="0" w:color="auto"/>
      </w:divBdr>
    </w:div>
    <w:div w:id="145055992">
      <w:bodyDiv w:val="1"/>
      <w:marLeft w:val="0"/>
      <w:marRight w:val="0"/>
      <w:marTop w:val="0"/>
      <w:marBottom w:val="0"/>
      <w:divBdr>
        <w:top w:val="none" w:sz="0" w:space="0" w:color="auto"/>
        <w:left w:val="none" w:sz="0" w:space="0" w:color="auto"/>
        <w:bottom w:val="none" w:sz="0" w:space="0" w:color="auto"/>
        <w:right w:val="none" w:sz="0" w:space="0" w:color="auto"/>
      </w:divBdr>
    </w:div>
    <w:div w:id="342367818">
      <w:bodyDiv w:val="1"/>
      <w:marLeft w:val="0"/>
      <w:marRight w:val="0"/>
      <w:marTop w:val="0"/>
      <w:marBottom w:val="0"/>
      <w:divBdr>
        <w:top w:val="none" w:sz="0" w:space="0" w:color="auto"/>
        <w:left w:val="none" w:sz="0" w:space="0" w:color="auto"/>
        <w:bottom w:val="none" w:sz="0" w:space="0" w:color="auto"/>
        <w:right w:val="none" w:sz="0" w:space="0" w:color="auto"/>
      </w:divBdr>
      <w:divsChild>
        <w:div w:id="1994604172">
          <w:marLeft w:val="0"/>
          <w:marRight w:val="0"/>
          <w:marTop w:val="100"/>
          <w:marBottom w:val="100"/>
          <w:divBdr>
            <w:top w:val="none" w:sz="0" w:space="0" w:color="auto"/>
            <w:left w:val="none" w:sz="0" w:space="0" w:color="auto"/>
            <w:bottom w:val="none" w:sz="0" w:space="0" w:color="auto"/>
            <w:right w:val="none" w:sz="0" w:space="0" w:color="auto"/>
          </w:divBdr>
          <w:divsChild>
            <w:div w:id="734544290">
              <w:marLeft w:val="0"/>
              <w:marRight w:val="0"/>
              <w:marTop w:val="0"/>
              <w:marBottom w:val="0"/>
              <w:divBdr>
                <w:top w:val="none" w:sz="0" w:space="0" w:color="auto"/>
                <w:left w:val="none" w:sz="0" w:space="0" w:color="auto"/>
                <w:bottom w:val="none" w:sz="0" w:space="0" w:color="auto"/>
                <w:right w:val="none" w:sz="0" w:space="0" w:color="auto"/>
              </w:divBdr>
              <w:divsChild>
                <w:div w:id="994188368">
                  <w:marLeft w:val="0"/>
                  <w:marRight w:val="0"/>
                  <w:marTop w:val="0"/>
                  <w:marBottom w:val="0"/>
                  <w:divBdr>
                    <w:top w:val="none" w:sz="0" w:space="0" w:color="auto"/>
                    <w:left w:val="none" w:sz="0" w:space="0" w:color="auto"/>
                    <w:bottom w:val="none" w:sz="0" w:space="0" w:color="auto"/>
                    <w:right w:val="none" w:sz="0" w:space="0" w:color="auto"/>
                  </w:divBdr>
                  <w:divsChild>
                    <w:div w:id="582373166">
                      <w:marLeft w:val="0"/>
                      <w:marRight w:val="0"/>
                      <w:marTop w:val="0"/>
                      <w:marBottom w:val="0"/>
                      <w:divBdr>
                        <w:top w:val="none" w:sz="0" w:space="0" w:color="auto"/>
                        <w:left w:val="none" w:sz="0" w:space="0" w:color="auto"/>
                        <w:bottom w:val="none" w:sz="0" w:space="0" w:color="auto"/>
                        <w:right w:val="none" w:sz="0" w:space="0" w:color="auto"/>
                      </w:divBdr>
                      <w:divsChild>
                        <w:div w:id="17973273">
                          <w:marLeft w:val="0"/>
                          <w:marRight w:val="0"/>
                          <w:marTop w:val="0"/>
                          <w:marBottom w:val="0"/>
                          <w:divBdr>
                            <w:top w:val="none" w:sz="0" w:space="0" w:color="auto"/>
                            <w:left w:val="none" w:sz="0" w:space="0" w:color="auto"/>
                            <w:bottom w:val="none" w:sz="0" w:space="0" w:color="auto"/>
                            <w:right w:val="none" w:sz="0" w:space="0" w:color="auto"/>
                          </w:divBdr>
                          <w:divsChild>
                            <w:div w:id="1995329235">
                              <w:marLeft w:val="0"/>
                              <w:marRight w:val="0"/>
                              <w:marTop w:val="0"/>
                              <w:marBottom w:val="0"/>
                              <w:divBdr>
                                <w:top w:val="none" w:sz="0" w:space="0" w:color="auto"/>
                                <w:left w:val="none" w:sz="0" w:space="0" w:color="auto"/>
                                <w:bottom w:val="none" w:sz="0" w:space="0" w:color="auto"/>
                                <w:right w:val="none" w:sz="0" w:space="0" w:color="auto"/>
                              </w:divBdr>
                              <w:divsChild>
                                <w:div w:id="154689322">
                                  <w:marLeft w:val="0"/>
                                  <w:marRight w:val="0"/>
                                  <w:marTop w:val="0"/>
                                  <w:marBottom w:val="0"/>
                                  <w:divBdr>
                                    <w:top w:val="none" w:sz="0" w:space="0" w:color="auto"/>
                                    <w:left w:val="none" w:sz="0" w:space="0" w:color="auto"/>
                                    <w:bottom w:val="none" w:sz="0" w:space="0" w:color="auto"/>
                                    <w:right w:val="none" w:sz="0" w:space="0" w:color="auto"/>
                                  </w:divBdr>
                                  <w:divsChild>
                                    <w:div w:id="685595186">
                                      <w:marLeft w:val="0"/>
                                      <w:marRight w:val="0"/>
                                      <w:marTop w:val="0"/>
                                      <w:marBottom w:val="0"/>
                                      <w:divBdr>
                                        <w:top w:val="none" w:sz="0" w:space="0" w:color="auto"/>
                                        <w:left w:val="none" w:sz="0" w:space="0" w:color="auto"/>
                                        <w:bottom w:val="none" w:sz="0" w:space="0" w:color="auto"/>
                                        <w:right w:val="none" w:sz="0" w:space="0" w:color="auto"/>
                                      </w:divBdr>
                                    </w:div>
                                    <w:div w:id="1773471941">
                                      <w:marLeft w:val="0"/>
                                      <w:marRight w:val="0"/>
                                      <w:marTop w:val="0"/>
                                      <w:marBottom w:val="0"/>
                                      <w:divBdr>
                                        <w:top w:val="none" w:sz="0" w:space="0" w:color="auto"/>
                                        <w:left w:val="none" w:sz="0" w:space="0" w:color="auto"/>
                                        <w:bottom w:val="none" w:sz="0" w:space="0" w:color="auto"/>
                                        <w:right w:val="none" w:sz="0" w:space="0" w:color="auto"/>
                                      </w:divBdr>
                                      <w:divsChild>
                                        <w:div w:id="1996106454">
                                          <w:marLeft w:val="0"/>
                                          <w:marRight w:val="0"/>
                                          <w:marTop w:val="0"/>
                                          <w:marBottom w:val="0"/>
                                          <w:divBdr>
                                            <w:top w:val="none" w:sz="0" w:space="0" w:color="auto"/>
                                            <w:left w:val="none" w:sz="0" w:space="0" w:color="auto"/>
                                            <w:bottom w:val="none" w:sz="0" w:space="0" w:color="auto"/>
                                            <w:right w:val="none" w:sz="0" w:space="0" w:color="auto"/>
                                          </w:divBdr>
                                          <w:divsChild>
                                            <w:div w:id="1892883034">
                                              <w:marLeft w:val="0"/>
                                              <w:marRight w:val="0"/>
                                              <w:marTop w:val="0"/>
                                              <w:marBottom w:val="0"/>
                                              <w:divBdr>
                                                <w:top w:val="none" w:sz="0" w:space="0" w:color="auto"/>
                                                <w:left w:val="none" w:sz="0" w:space="0" w:color="auto"/>
                                                <w:bottom w:val="none" w:sz="0" w:space="0" w:color="auto"/>
                                                <w:right w:val="none" w:sz="0" w:space="0" w:color="auto"/>
                                              </w:divBdr>
                                              <w:divsChild>
                                                <w:div w:id="2013872959">
                                                  <w:marLeft w:val="0"/>
                                                  <w:marRight w:val="0"/>
                                                  <w:marTop w:val="0"/>
                                                  <w:marBottom w:val="0"/>
                                                  <w:divBdr>
                                                    <w:top w:val="none" w:sz="0" w:space="0" w:color="auto"/>
                                                    <w:left w:val="none" w:sz="0" w:space="0" w:color="auto"/>
                                                    <w:bottom w:val="none" w:sz="0" w:space="0" w:color="auto"/>
                                                    <w:right w:val="none" w:sz="0" w:space="0" w:color="auto"/>
                                                  </w:divBdr>
                                                  <w:divsChild>
                                                    <w:div w:id="1616911999">
                                                      <w:marLeft w:val="0"/>
                                                      <w:marRight w:val="0"/>
                                                      <w:marTop w:val="0"/>
                                                      <w:marBottom w:val="0"/>
                                                      <w:divBdr>
                                                        <w:top w:val="none" w:sz="0" w:space="0" w:color="auto"/>
                                                        <w:left w:val="none" w:sz="0" w:space="0" w:color="auto"/>
                                                        <w:bottom w:val="none" w:sz="0" w:space="0" w:color="auto"/>
                                                        <w:right w:val="none" w:sz="0" w:space="0" w:color="auto"/>
                                                      </w:divBdr>
                                                      <w:divsChild>
                                                        <w:div w:id="15173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5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074609">
      <w:bodyDiv w:val="1"/>
      <w:marLeft w:val="0"/>
      <w:marRight w:val="0"/>
      <w:marTop w:val="0"/>
      <w:marBottom w:val="0"/>
      <w:divBdr>
        <w:top w:val="none" w:sz="0" w:space="0" w:color="auto"/>
        <w:left w:val="none" w:sz="0" w:space="0" w:color="auto"/>
        <w:bottom w:val="none" w:sz="0" w:space="0" w:color="auto"/>
        <w:right w:val="none" w:sz="0" w:space="0" w:color="auto"/>
      </w:divBdr>
    </w:div>
    <w:div w:id="361446300">
      <w:bodyDiv w:val="1"/>
      <w:marLeft w:val="0"/>
      <w:marRight w:val="0"/>
      <w:marTop w:val="0"/>
      <w:marBottom w:val="0"/>
      <w:divBdr>
        <w:top w:val="none" w:sz="0" w:space="0" w:color="auto"/>
        <w:left w:val="none" w:sz="0" w:space="0" w:color="auto"/>
        <w:bottom w:val="none" w:sz="0" w:space="0" w:color="auto"/>
        <w:right w:val="none" w:sz="0" w:space="0" w:color="auto"/>
      </w:divBdr>
    </w:div>
    <w:div w:id="564220094">
      <w:bodyDiv w:val="1"/>
      <w:marLeft w:val="0"/>
      <w:marRight w:val="0"/>
      <w:marTop w:val="0"/>
      <w:marBottom w:val="0"/>
      <w:divBdr>
        <w:top w:val="none" w:sz="0" w:space="0" w:color="auto"/>
        <w:left w:val="none" w:sz="0" w:space="0" w:color="auto"/>
        <w:bottom w:val="none" w:sz="0" w:space="0" w:color="auto"/>
        <w:right w:val="none" w:sz="0" w:space="0" w:color="auto"/>
      </w:divBdr>
      <w:divsChild>
        <w:div w:id="630861801">
          <w:marLeft w:val="0"/>
          <w:marRight w:val="0"/>
          <w:marTop w:val="0"/>
          <w:marBottom w:val="0"/>
          <w:divBdr>
            <w:top w:val="none" w:sz="0" w:space="0" w:color="auto"/>
            <w:left w:val="none" w:sz="0" w:space="0" w:color="auto"/>
            <w:bottom w:val="none" w:sz="0" w:space="0" w:color="auto"/>
            <w:right w:val="none" w:sz="0" w:space="0" w:color="auto"/>
          </w:divBdr>
          <w:divsChild>
            <w:div w:id="1971856234">
              <w:marLeft w:val="0"/>
              <w:marRight w:val="0"/>
              <w:marTop w:val="0"/>
              <w:marBottom w:val="0"/>
              <w:divBdr>
                <w:top w:val="none" w:sz="0" w:space="0" w:color="auto"/>
                <w:left w:val="none" w:sz="0" w:space="0" w:color="auto"/>
                <w:bottom w:val="none" w:sz="0" w:space="0" w:color="auto"/>
                <w:right w:val="none" w:sz="0" w:space="0" w:color="auto"/>
              </w:divBdr>
              <w:divsChild>
                <w:div w:id="8336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9307">
      <w:bodyDiv w:val="1"/>
      <w:marLeft w:val="0"/>
      <w:marRight w:val="0"/>
      <w:marTop w:val="0"/>
      <w:marBottom w:val="0"/>
      <w:divBdr>
        <w:top w:val="none" w:sz="0" w:space="0" w:color="auto"/>
        <w:left w:val="none" w:sz="0" w:space="0" w:color="auto"/>
        <w:bottom w:val="none" w:sz="0" w:space="0" w:color="auto"/>
        <w:right w:val="none" w:sz="0" w:space="0" w:color="auto"/>
      </w:divBdr>
      <w:divsChild>
        <w:div w:id="1666740503">
          <w:marLeft w:val="0"/>
          <w:marRight w:val="0"/>
          <w:marTop w:val="100"/>
          <w:marBottom w:val="100"/>
          <w:divBdr>
            <w:top w:val="none" w:sz="0" w:space="0" w:color="auto"/>
            <w:left w:val="none" w:sz="0" w:space="0" w:color="auto"/>
            <w:bottom w:val="none" w:sz="0" w:space="0" w:color="auto"/>
            <w:right w:val="none" w:sz="0" w:space="0" w:color="auto"/>
          </w:divBdr>
          <w:divsChild>
            <w:div w:id="1724938181">
              <w:marLeft w:val="0"/>
              <w:marRight w:val="0"/>
              <w:marTop w:val="0"/>
              <w:marBottom w:val="0"/>
              <w:divBdr>
                <w:top w:val="none" w:sz="0" w:space="0" w:color="auto"/>
                <w:left w:val="none" w:sz="0" w:space="0" w:color="auto"/>
                <w:bottom w:val="none" w:sz="0" w:space="0" w:color="auto"/>
                <w:right w:val="none" w:sz="0" w:space="0" w:color="auto"/>
              </w:divBdr>
              <w:divsChild>
                <w:div w:id="1153958304">
                  <w:marLeft w:val="0"/>
                  <w:marRight w:val="0"/>
                  <w:marTop w:val="0"/>
                  <w:marBottom w:val="0"/>
                  <w:divBdr>
                    <w:top w:val="none" w:sz="0" w:space="0" w:color="auto"/>
                    <w:left w:val="none" w:sz="0" w:space="0" w:color="auto"/>
                    <w:bottom w:val="none" w:sz="0" w:space="0" w:color="auto"/>
                    <w:right w:val="none" w:sz="0" w:space="0" w:color="auto"/>
                  </w:divBdr>
                  <w:divsChild>
                    <w:div w:id="2111847874">
                      <w:marLeft w:val="92"/>
                      <w:marRight w:val="92"/>
                      <w:marTop w:val="0"/>
                      <w:marBottom w:val="0"/>
                      <w:divBdr>
                        <w:top w:val="none" w:sz="0" w:space="0" w:color="auto"/>
                        <w:left w:val="none" w:sz="0" w:space="0" w:color="auto"/>
                        <w:bottom w:val="none" w:sz="0" w:space="0" w:color="auto"/>
                        <w:right w:val="none" w:sz="0" w:space="0" w:color="auto"/>
                      </w:divBdr>
                      <w:divsChild>
                        <w:div w:id="1183086483">
                          <w:marLeft w:val="0"/>
                          <w:marRight w:val="0"/>
                          <w:marTop w:val="0"/>
                          <w:marBottom w:val="0"/>
                          <w:divBdr>
                            <w:top w:val="none" w:sz="0" w:space="0" w:color="auto"/>
                            <w:left w:val="none" w:sz="0" w:space="0" w:color="auto"/>
                            <w:bottom w:val="none" w:sz="0" w:space="0" w:color="auto"/>
                            <w:right w:val="none" w:sz="0" w:space="0" w:color="auto"/>
                          </w:divBdr>
                          <w:divsChild>
                            <w:div w:id="9054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985759">
      <w:bodyDiv w:val="1"/>
      <w:marLeft w:val="0"/>
      <w:marRight w:val="0"/>
      <w:marTop w:val="0"/>
      <w:marBottom w:val="0"/>
      <w:divBdr>
        <w:top w:val="none" w:sz="0" w:space="0" w:color="auto"/>
        <w:left w:val="none" w:sz="0" w:space="0" w:color="auto"/>
        <w:bottom w:val="none" w:sz="0" w:space="0" w:color="auto"/>
        <w:right w:val="none" w:sz="0" w:space="0" w:color="auto"/>
      </w:divBdr>
      <w:divsChild>
        <w:div w:id="1874733664">
          <w:marLeft w:val="0"/>
          <w:marRight w:val="0"/>
          <w:marTop w:val="100"/>
          <w:marBottom w:val="100"/>
          <w:divBdr>
            <w:top w:val="none" w:sz="0" w:space="0" w:color="auto"/>
            <w:left w:val="none" w:sz="0" w:space="0" w:color="auto"/>
            <w:bottom w:val="none" w:sz="0" w:space="0" w:color="auto"/>
            <w:right w:val="none" w:sz="0" w:space="0" w:color="auto"/>
          </w:divBdr>
          <w:divsChild>
            <w:div w:id="906915263">
              <w:marLeft w:val="0"/>
              <w:marRight w:val="0"/>
              <w:marTop w:val="0"/>
              <w:marBottom w:val="0"/>
              <w:divBdr>
                <w:top w:val="none" w:sz="0" w:space="0" w:color="auto"/>
                <w:left w:val="none" w:sz="0" w:space="0" w:color="auto"/>
                <w:bottom w:val="none" w:sz="0" w:space="0" w:color="auto"/>
                <w:right w:val="none" w:sz="0" w:space="0" w:color="auto"/>
              </w:divBdr>
              <w:divsChild>
                <w:div w:id="817188664">
                  <w:marLeft w:val="0"/>
                  <w:marRight w:val="0"/>
                  <w:marTop w:val="0"/>
                  <w:marBottom w:val="0"/>
                  <w:divBdr>
                    <w:top w:val="none" w:sz="0" w:space="0" w:color="auto"/>
                    <w:left w:val="none" w:sz="0" w:space="0" w:color="auto"/>
                    <w:bottom w:val="none" w:sz="0" w:space="0" w:color="auto"/>
                    <w:right w:val="none" w:sz="0" w:space="0" w:color="auto"/>
                  </w:divBdr>
                  <w:divsChild>
                    <w:div w:id="380056601">
                      <w:marLeft w:val="92"/>
                      <w:marRight w:val="92"/>
                      <w:marTop w:val="0"/>
                      <w:marBottom w:val="295"/>
                      <w:divBdr>
                        <w:top w:val="none" w:sz="0" w:space="0" w:color="auto"/>
                        <w:left w:val="none" w:sz="0" w:space="0" w:color="auto"/>
                        <w:bottom w:val="none" w:sz="0" w:space="0" w:color="auto"/>
                        <w:right w:val="none" w:sz="0" w:space="0" w:color="auto"/>
                      </w:divBdr>
                    </w:div>
                  </w:divsChild>
                </w:div>
              </w:divsChild>
            </w:div>
          </w:divsChild>
        </w:div>
      </w:divsChild>
    </w:div>
    <w:div w:id="733624268">
      <w:bodyDiv w:val="1"/>
      <w:marLeft w:val="0"/>
      <w:marRight w:val="0"/>
      <w:marTop w:val="0"/>
      <w:marBottom w:val="0"/>
      <w:divBdr>
        <w:top w:val="none" w:sz="0" w:space="0" w:color="auto"/>
        <w:left w:val="none" w:sz="0" w:space="0" w:color="auto"/>
        <w:bottom w:val="none" w:sz="0" w:space="0" w:color="auto"/>
        <w:right w:val="none" w:sz="0" w:space="0" w:color="auto"/>
      </w:divBdr>
    </w:div>
    <w:div w:id="905334742">
      <w:bodyDiv w:val="1"/>
      <w:marLeft w:val="0"/>
      <w:marRight w:val="0"/>
      <w:marTop w:val="0"/>
      <w:marBottom w:val="0"/>
      <w:divBdr>
        <w:top w:val="none" w:sz="0" w:space="0" w:color="auto"/>
        <w:left w:val="none" w:sz="0" w:space="0" w:color="auto"/>
        <w:bottom w:val="none" w:sz="0" w:space="0" w:color="auto"/>
        <w:right w:val="none" w:sz="0" w:space="0" w:color="auto"/>
      </w:divBdr>
    </w:div>
    <w:div w:id="938366438">
      <w:bodyDiv w:val="1"/>
      <w:marLeft w:val="0"/>
      <w:marRight w:val="0"/>
      <w:marTop w:val="0"/>
      <w:marBottom w:val="0"/>
      <w:divBdr>
        <w:top w:val="none" w:sz="0" w:space="0" w:color="auto"/>
        <w:left w:val="none" w:sz="0" w:space="0" w:color="auto"/>
        <w:bottom w:val="none" w:sz="0" w:space="0" w:color="auto"/>
        <w:right w:val="none" w:sz="0" w:space="0" w:color="auto"/>
      </w:divBdr>
    </w:div>
    <w:div w:id="968243154">
      <w:bodyDiv w:val="1"/>
      <w:marLeft w:val="0"/>
      <w:marRight w:val="0"/>
      <w:marTop w:val="0"/>
      <w:marBottom w:val="0"/>
      <w:divBdr>
        <w:top w:val="none" w:sz="0" w:space="0" w:color="auto"/>
        <w:left w:val="none" w:sz="0" w:space="0" w:color="auto"/>
        <w:bottom w:val="none" w:sz="0" w:space="0" w:color="auto"/>
        <w:right w:val="none" w:sz="0" w:space="0" w:color="auto"/>
      </w:divBdr>
      <w:divsChild>
        <w:div w:id="939485790">
          <w:marLeft w:val="0"/>
          <w:marRight w:val="0"/>
          <w:marTop w:val="100"/>
          <w:marBottom w:val="100"/>
          <w:divBdr>
            <w:top w:val="none" w:sz="0" w:space="0" w:color="auto"/>
            <w:left w:val="none" w:sz="0" w:space="0" w:color="auto"/>
            <w:bottom w:val="none" w:sz="0" w:space="0" w:color="auto"/>
            <w:right w:val="none" w:sz="0" w:space="0" w:color="auto"/>
          </w:divBdr>
          <w:divsChild>
            <w:div w:id="1594163358">
              <w:marLeft w:val="0"/>
              <w:marRight w:val="0"/>
              <w:marTop w:val="0"/>
              <w:marBottom w:val="0"/>
              <w:divBdr>
                <w:top w:val="none" w:sz="0" w:space="0" w:color="auto"/>
                <w:left w:val="none" w:sz="0" w:space="0" w:color="auto"/>
                <w:bottom w:val="none" w:sz="0" w:space="0" w:color="auto"/>
                <w:right w:val="none" w:sz="0" w:space="0" w:color="auto"/>
              </w:divBdr>
              <w:divsChild>
                <w:div w:id="704335480">
                  <w:marLeft w:val="0"/>
                  <w:marRight w:val="0"/>
                  <w:marTop w:val="0"/>
                  <w:marBottom w:val="0"/>
                  <w:divBdr>
                    <w:top w:val="none" w:sz="0" w:space="0" w:color="auto"/>
                    <w:left w:val="none" w:sz="0" w:space="0" w:color="auto"/>
                    <w:bottom w:val="none" w:sz="0" w:space="0" w:color="auto"/>
                    <w:right w:val="none" w:sz="0" w:space="0" w:color="auto"/>
                  </w:divBdr>
                  <w:divsChild>
                    <w:div w:id="284123170">
                      <w:marLeft w:val="92"/>
                      <w:marRight w:val="92"/>
                      <w:marTop w:val="0"/>
                      <w:marBottom w:val="0"/>
                      <w:divBdr>
                        <w:top w:val="none" w:sz="0" w:space="0" w:color="auto"/>
                        <w:left w:val="none" w:sz="0" w:space="0" w:color="auto"/>
                        <w:bottom w:val="none" w:sz="0" w:space="0" w:color="auto"/>
                        <w:right w:val="none" w:sz="0" w:space="0" w:color="auto"/>
                      </w:divBdr>
                      <w:divsChild>
                        <w:div w:id="936137380">
                          <w:marLeft w:val="0"/>
                          <w:marRight w:val="0"/>
                          <w:marTop w:val="0"/>
                          <w:marBottom w:val="0"/>
                          <w:divBdr>
                            <w:top w:val="none" w:sz="0" w:space="0" w:color="auto"/>
                            <w:left w:val="none" w:sz="0" w:space="0" w:color="auto"/>
                            <w:bottom w:val="none" w:sz="0" w:space="0" w:color="auto"/>
                            <w:right w:val="none" w:sz="0" w:space="0" w:color="auto"/>
                          </w:divBdr>
                          <w:divsChild>
                            <w:div w:id="1136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622531">
      <w:bodyDiv w:val="1"/>
      <w:marLeft w:val="0"/>
      <w:marRight w:val="0"/>
      <w:marTop w:val="0"/>
      <w:marBottom w:val="0"/>
      <w:divBdr>
        <w:top w:val="none" w:sz="0" w:space="0" w:color="auto"/>
        <w:left w:val="none" w:sz="0" w:space="0" w:color="auto"/>
        <w:bottom w:val="none" w:sz="0" w:space="0" w:color="auto"/>
        <w:right w:val="none" w:sz="0" w:space="0" w:color="auto"/>
      </w:divBdr>
    </w:div>
    <w:div w:id="1319265742">
      <w:bodyDiv w:val="1"/>
      <w:marLeft w:val="0"/>
      <w:marRight w:val="0"/>
      <w:marTop w:val="0"/>
      <w:marBottom w:val="0"/>
      <w:divBdr>
        <w:top w:val="none" w:sz="0" w:space="0" w:color="auto"/>
        <w:left w:val="none" w:sz="0" w:space="0" w:color="auto"/>
        <w:bottom w:val="none" w:sz="0" w:space="0" w:color="auto"/>
        <w:right w:val="none" w:sz="0" w:space="0" w:color="auto"/>
      </w:divBdr>
      <w:divsChild>
        <w:div w:id="1154638657">
          <w:marLeft w:val="0"/>
          <w:marRight w:val="0"/>
          <w:marTop w:val="0"/>
          <w:marBottom w:val="0"/>
          <w:divBdr>
            <w:top w:val="none" w:sz="0" w:space="0" w:color="auto"/>
            <w:left w:val="none" w:sz="0" w:space="0" w:color="auto"/>
            <w:bottom w:val="none" w:sz="0" w:space="0" w:color="auto"/>
            <w:right w:val="none" w:sz="0" w:space="0" w:color="auto"/>
          </w:divBdr>
          <w:divsChild>
            <w:div w:id="6218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8117">
      <w:bodyDiv w:val="1"/>
      <w:marLeft w:val="0"/>
      <w:marRight w:val="0"/>
      <w:marTop w:val="0"/>
      <w:marBottom w:val="0"/>
      <w:divBdr>
        <w:top w:val="none" w:sz="0" w:space="0" w:color="auto"/>
        <w:left w:val="none" w:sz="0" w:space="0" w:color="auto"/>
        <w:bottom w:val="none" w:sz="0" w:space="0" w:color="auto"/>
        <w:right w:val="none" w:sz="0" w:space="0" w:color="auto"/>
      </w:divBdr>
    </w:div>
    <w:div w:id="1418207948">
      <w:bodyDiv w:val="1"/>
      <w:marLeft w:val="0"/>
      <w:marRight w:val="0"/>
      <w:marTop w:val="0"/>
      <w:marBottom w:val="0"/>
      <w:divBdr>
        <w:top w:val="none" w:sz="0" w:space="0" w:color="auto"/>
        <w:left w:val="none" w:sz="0" w:space="0" w:color="auto"/>
        <w:bottom w:val="none" w:sz="0" w:space="0" w:color="auto"/>
        <w:right w:val="none" w:sz="0" w:space="0" w:color="auto"/>
      </w:divBdr>
      <w:divsChild>
        <w:div w:id="844199976">
          <w:marLeft w:val="0"/>
          <w:marRight w:val="0"/>
          <w:marTop w:val="100"/>
          <w:marBottom w:val="100"/>
          <w:divBdr>
            <w:top w:val="none" w:sz="0" w:space="0" w:color="auto"/>
            <w:left w:val="none" w:sz="0" w:space="0" w:color="auto"/>
            <w:bottom w:val="none" w:sz="0" w:space="0" w:color="auto"/>
            <w:right w:val="none" w:sz="0" w:space="0" w:color="auto"/>
          </w:divBdr>
          <w:divsChild>
            <w:div w:id="1354066933">
              <w:marLeft w:val="0"/>
              <w:marRight w:val="0"/>
              <w:marTop w:val="0"/>
              <w:marBottom w:val="0"/>
              <w:divBdr>
                <w:top w:val="none" w:sz="0" w:space="0" w:color="auto"/>
                <w:left w:val="none" w:sz="0" w:space="0" w:color="auto"/>
                <w:bottom w:val="none" w:sz="0" w:space="0" w:color="auto"/>
                <w:right w:val="none" w:sz="0" w:space="0" w:color="auto"/>
              </w:divBdr>
              <w:divsChild>
                <w:div w:id="1921325156">
                  <w:marLeft w:val="0"/>
                  <w:marRight w:val="0"/>
                  <w:marTop w:val="0"/>
                  <w:marBottom w:val="0"/>
                  <w:divBdr>
                    <w:top w:val="none" w:sz="0" w:space="0" w:color="auto"/>
                    <w:left w:val="none" w:sz="0" w:space="0" w:color="auto"/>
                    <w:bottom w:val="none" w:sz="0" w:space="0" w:color="auto"/>
                    <w:right w:val="none" w:sz="0" w:space="0" w:color="auto"/>
                  </w:divBdr>
                  <w:divsChild>
                    <w:div w:id="348651833">
                      <w:marLeft w:val="92"/>
                      <w:marRight w:val="92"/>
                      <w:marTop w:val="0"/>
                      <w:marBottom w:val="295"/>
                      <w:divBdr>
                        <w:top w:val="none" w:sz="0" w:space="0" w:color="auto"/>
                        <w:left w:val="none" w:sz="0" w:space="0" w:color="auto"/>
                        <w:bottom w:val="none" w:sz="0" w:space="0" w:color="auto"/>
                        <w:right w:val="none" w:sz="0" w:space="0" w:color="auto"/>
                      </w:divBdr>
                    </w:div>
                  </w:divsChild>
                </w:div>
              </w:divsChild>
            </w:div>
          </w:divsChild>
        </w:div>
      </w:divsChild>
    </w:div>
    <w:div w:id="1502503223">
      <w:bodyDiv w:val="1"/>
      <w:marLeft w:val="0"/>
      <w:marRight w:val="0"/>
      <w:marTop w:val="0"/>
      <w:marBottom w:val="0"/>
      <w:divBdr>
        <w:top w:val="none" w:sz="0" w:space="0" w:color="auto"/>
        <w:left w:val="none" w:sz="0" w:space="0" w:color="auto"/>
        <w:bottom w:val="none" w:sz="0" w:space="0" w:color="auto"/>
        <w:right w:val="none" w:sz="0" w:space="0" w:color="auto"/>
      </w:divBdr>
    </w:div>
    <w:div w:id="1672952584">
      <w:bodyDiv w:val="1"/>
      <w:marLeft w:val="0"/>
      <w:marRight w:val="0"/>
      <w:marTop w:val="0"/>
      <w:marBottom w:val="0"/>
      <w:divBdr>
        <w:top w:val="none" w:sz="0" w:space="0" w:color="auto"/>
        <w:left w:val="none" w:sz="0" w:space="0" w:color="auto"/>
        <w:bottom w:val="none" w:sz="0" w:space="0" w:color="auto"/>
        <w:right w:val="none" w:sz="0" w:space="0" w:color="auto"/>
      </w:divBdr>
    </w:div>
    <w:div w:id="1731616142">
      <w:bodyDiv w:val="1"/>
      <w:marLeft w:val="0"/>
      <w:marRight w:val="0"/>
      <w:marTop w:val="0"/>
      <w:marBottom w:val="0"/>
      <w:divBdr>
        <w:top w:val="none" w:sz="0" w:space="0" w:color="auto"/>
        <w:left w:val="none" w:sz="0" w:space="0" w:color="auto"/>
        <w:bottom w:val="none" w:sz="0" w:space="0" w:color="auto"/>
        <w:right w:val="none" w:sz="0" w:space="0" w:color="auto"/>
      </w:divBdr>
    </w:div>
    <w:div w:id="1972206428">
      <w:bodyDiv w:val="1"/>
      <w:marLeft w:val="0"/>
      <w:marRight w:val="0"/>
      <w:marTop w:val="0"/>
      <w:marBottom w:val="0"/>
      <w:divBdr>
        <w:top w:val="none" w:sz="0" w:space="0" w:color="auto"/>
        <w:left w:val="none" w:sz="0" w:space="0" w:color="auto"/>
        <w:bottom w:val="none" w:sz="0" w:space="0" w:color="auto"/>
        <w:right w:val="none" w:sz="0" w:space="0" w:color="auto"/>
      </w:divBdr>
    </w:div>
    <w:div w:id="19912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eensu.ca/forms/index.php/accessibility/add" TargetMode="External"/><Relationship Id="rId18" Type="http://schemas.openxmlformats.org/officeDocument/2006/relationships/hyperlink" Target="http://www.queensu.ca/about/quickfacts" TargetMode="External"/><Relationship Id="rId26" Type="http://schemas.openxmlformats.org/officeDocument/2006/relationships/hyperlink" Target="http://www.queensu.ca/equity/accessibility/framework/infoandcom.html" TargetMode="External"/><Relationship Id="rId39" Type="http://schemas.openxmlformats.org/officeDocument/2006/relationships/image" Target="media/image3.jpeg"/><Relationship Id="rId21" Type="http://schemas.openxmlformats.org/officeDocument/2006/relationships/hyperlink" Target="http://www.queensu.ca/equity/sites/webpublish.queensu.ca.eqwww/files/files/accessibility/policy/Queens-University-Comprehensive-Strategic-Framework-For-Accessibility-Oct-2011.pdf" TargetMode="External"/><Relationship Id="rId34" Type="http://schemas.openxmlformats.org/officeDocument/2006/relationships/hyperlink" Target="http://www.queensu.ca/secretariat/policies/human-resources/accommodation-disabilities-workplace-policy" TargetMode="External"/><Relationship Id="rId42" Type="http://schemas.openxmlformats.org/officeDocument/2006/relationships/hyperlink" Target="http://www.queensu.ca/secretariat/policies/senate/queens-policy-concerning-students-disabilities" TargetMode="External"/><Relationship Id="rId47" Type="http://schemas.openxmlformats.org/officeDocument/2006/relationships/hyperlink" Target="http://www.queensu.ca/secretariat/policies/human-resources/accommodation-disabilities-workplace-policy/individualized-disability" TargetMode="External"/><Relationship Id="rId50" Type="http://schemas.openxmlformats.org/officeDocument/2006/relationships/hyperlink" Target="http://www.queensu.ca/secretariat/policies/human-resources/return-work-policy/return-work-procedure" TargetMode="External"/><Relationship Id="rId55" Type="http://schemas.openxmlformats.org/officeDocument/2006/relationships/footer" Target="footer2.xml"/><Relationship Id="rId63" Type="http://schemas.openxmlformats.org/officeDocument/2006/relationships/header" Target="header3.xml"/><Relationship Id="rId68" Type="http://schemas.openxmlformats.org/officeDocument/2006/relationships/hyperlink" Target="http://queensu.ca/atc/connect" TargetMode="External"/><Relationship Id="rId76" Type="http://schemas.openxmlformats.org/officeDocument/2006/relationships/hyperlink" Target="http://www.queensu.ca/secretariat/policies/administration-and-operations/accessibility-policy" TargetMode="External"/><Relationship Id="rId7" Type="http://schemas.openxmlformats.org/officeDocument/2006/relationships/endnotes" Target="endnotes.xml"/><Relationship Id="rId71" Type="http://schemas.openxmlformats.org/officeDocument/2006/relationships/hyperlink" Target="https://www.queensu.ca/forms/accessibility/customer-service-accessibility-feedback" TargetMode="External"/><Relationship Id="rId2" Type="http://schemas.openxmlformats.org/officeDocument/2006/relationships/numbering" Target="numbering.xml"/><Relationship Id="rId16" Type="http://schemas.openxmlformats.org/officeDocument/2006/relationships/hyperlink" Target="http://www.queensu.ca/academics/programs" TargetMode="External"/><Relationship Id="rId29" Type="http://schemas.openxmlformats.org/officeDocument/2006/relationships/hyperlink" Target="http://www.queensu.ca/equity/accessibility/framework/built-environment" TargetMode="External"/><Relationship Id="rId11" Type="http://schemas.openxmlformats.org/officeDocument/2006/relationships/hyperlink" Target="http://www.queensu.ca/equity/accessibility/accessibility-reports" TargetMode="External"/><Relationship Id="rId24" Type="http://schemas.openxmlformats.org/officeDocument/2006/relationships/hyperlink" Target="http://www.queensu.ca/equity/accessibility/framework/policy-advisory" TargetMode="External"/><Relationship Id="rId32" Type="http://schemas.openxmlformats.org/officeDocument/2006/relationships/hyperlink" Target="http://www.queensu.ca/equity/accessibility/framework/eta.html" TargetMode="External"/><Relationship Id="rId37" Type="http://schemas.openxmlformats.org/officeDocument/2006/relationships/hyperlink" Target="http://www.queensu.ca/secretariat/policies/human-resources/return-work-policy" TargetMode="External"/><Relationship Id="rId40" Type="http://schemas.openxmlformats.org/officeDocument/2006/relationships/hyperlink" Target="http://www.queensu.ca/hcds/" TargetMode="External"/><Relationship Id="rId45" Type="http://schemas.openxmlformats.org/officeDocument/2006/relationships/hyperlink" Target="https://www.queensu.ca/forms/index.php/accessibility/add" TargetMode="External"/><Relationship Id="rId53" Type="http://schemas.openxmlformats.org/officeDocument/2006/relationships/hyperlink" Target="https://www.ontario.ca/document/legislative-review-accessibility-ontarians-disabilities-act" TargetMode="External"/><Relationship Id="rId58" Type="http://schemas.openxmlformats.org/officeDocument/2006/relationships/hyperlink" Target="http://www.e-laws.gov.on.ca/html/statutes/english/elaws_statutes_90h19_e.htm" TargetMode="External"/><Relationship Id="rId66" Type="http://schemas.openxmlformats.org/officeDocument/2006/relationships/hyperlink" Target="https://www.ontario.ca/laws/regulation/110191" TargetMode="External"/><Relationship Id="rId74" Type="http://schemas.openxmlformats.org/officeDocument/2006/relationships/hyperlink" Target="mailto:parking@queensu.ca"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ntario.ca/laws/regulation/110191" TargetMode="External"/><Relationship Id="rId10" Type="http://schemas.openxmlformats.org/officeDocument/2006/relationships/hyperlink" Target="mailto:equity@queensu.ca" TargetMode="External"/><Relationship Id="rId19" Type="http://schemas.openxmlformats.org/officeDocument/2006/relationships/hyperlink" Target="http://www.queensu.ca/encyclopedia/index.html" TargetMode="External"/><Relationship Id="rId31" Type="http://schemas.openxmlformats.org/officeDocument/2006/relationships/hyperlink" Target="http://www.queensu.ca/equity/accessibility/framework/education-training-and-awareness" TargetMode="External"/><Relationship Id="rId44" Type="http://schemas.openxmlformats.org/officeDocument/2006/relationships/hyperlink" Target="http://www.queensu.ca/secretariat/policies/senate/queens-policy-concerning-students-disabilities" TargetMode="External"/><Relationship Id="rId52" Type="http://schemas.openxmlformats.org/officeDocument/2006/relationships/hyperlink" Target="http://www.queensu.ca/accessibility/across-campus/queens-accessibility-initiatives/accessibility-award" TargetMode="External"/><Relationship Id="rId60" Type="http://schemas.openxmlformats.org/officeDocument/2006/relationships/hyperlink" Target="https://www.ontario.ca/laws/regulation/110191" TargetMode="External"/><Relationship Id="rId65" Type="http://schemas.openxmlformats.org/officeDocument/2006/relationships/image" Target="media/image4.png"/><Relationship Id="rId73" Type="http://schemas.openxmlformats.org/officeDocument/2006/relationships/hyperlink" Target="http://my.queensu.ca"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eanette.parsons@queensu.ca" TargetMode="External"/><Relationship Id="rId22" Type="http://schemas.openxmlformats.org/officeDocument/2006/relationships/image" Target="media/image2.jpeg"/><Relationship Id="rId27" Type="http://schemas.openxmlformats.org/officeDocument/2006/relationships/hyperlink" Target="http://www.queensu.ca/equity/accessibility/framework/employment" TargetMode="External"/><Relationship Id="rId30" Type="http://schemas.openxmlformats.org/officeDocument/2006/relationships/hyperlink" Target="http://www.queensu.ca/equity/accessibility/framework/builtenvironment.html" TargetMode="External"/><Relationship Id="rId35" Type="http://schemas.openxmlformats.org/officeDocument/2006/relationships/hyperlink" Target="http://www.queensu.ca/secretariat/policies/human-resources/accommodation-disabilities-workplace-policy/individualized-disability" TargetMode="External"/><Relationship Id="rId43" Type="http://schemas.openxmlformats.org/officeDocument/2006/relationships/hyperlink" Target="http://www.queensu.ca/secretariat/policies/senate/queens-policy-concerning-students-disabilities" TargetMode="External"/><Relationship Id="rId48" Type="http://schemas.openxmlformats.org/officeDocument/2006/relationships/hyperlink" Target="http://www.queensu.ca/secretariat/policies/human-resources/accommodation-disabilities-workplace-policy/disability-accommodation" TargetMode="External"/><Relationship Id="rId56" Type="http://schemas.openxmlformats.org/officeDocument/2006/relationships/hyperlink" Target="http://www.e-laws.gov.on.ca/html/statutes/english/elaws_statutes_01o32_e.htm" TargetMode="External"/><Relationship Id="rId64" Type="http://schemas.openxmlformats.org/officeDocument/2006/relationships/footer" Target="footer3.xml"/><Relationship Id="rId69" Type="http://schemas.openxmlformats.org/officeDocument/2006/relationships/hyperlink" Target="mailto:fixit@queensu.ca" TargetMode="External"/><Relationship Id="rId77" Type="http://schemas.openxmlformats.org/officeDocument/2006/relationships/footer" Target="footer4.xml"/><Relationship Id="rId8" Type="http://schemas.openxmlformats.org/officeDocument/2006/relationships/footer" Target="footer1.xml"/><Relationship Id="rId51" Type="http://schemas.openxmlformats.org/officeDocument/2006/relationships/hyperlink" Target="http://www.queensu.ca/equity/training" TargetMode="External"/><Relationship Id="rId72" Type="http://schemas.openxmlformats.org/officeDocument/2006/relationships/hyperlink" Target="http://www.queensu.ca/gazette/campusupdates" TargetMode="External"/><Relationship Id="rId3" Type="http://schemas.openxmlformats.org/officeDocument/2006/relationships/styles" Target="styles.xml"/><Relationship Id="rId12" Type="http://schemas.openxmlformats.org/officeDocument/2006/relationships/hyperlink" Target="mailto:equity@queensu.ca" TargetMode="External"/><Relationship Id="rId17" Type="http://schemas.openxmlformats.org/officeDocument/2006/relationships/hyperlink" Target="http://www.queensu.ca/international/study/bisc" TargetMode="External"/><Relationship Id="rId25" Type="http://schemas.openxmlformats.org/officeDocument/2006/relationships/hyperlink" Target="http://www.queensu.ca/equity/accessibility/framework/information-and-communication" TargetMode="External"/><Relationship Id="rId33" Type="http://schemas.openxmlformats.org/officeDocument/2006/relationships/hyperlink" Target="http://www.queensu.ca/provost/committees-and-reports/operational-review-committee" TargetMode="External"/><Relationship Id="rId38" Type="http://schemas.openxmlformats.org/officeDocument/2006/relationships/hyperlink" Target="http://www.queensu.ca/secretariat/policies/human-resources/return-work-policy/return-work-procedure" TargetMode="External"/><Relationship Id="rId46" Type="http://schemas.openxmlformats.org/officeDocument/2006/relationships/hyperlink" Target="http://www.queensu.ca/secretariat/policies/human-resources/accommodation-disabilities-workplace-policy" TargetMode="External"/><Relationship Id="rId59" Type="http://schemas.openxmlformats.org/officeDocument/2006/relationships/hyperlink" Target="http://www.e-laws.gov.on.ca/html/statutes/english/elaws_statutes_92b23_e.htm" TargetMode="External"/><Relationship Id="rId67" Type="http://schemas.openxmlformats.org/officeDocument/2006/relationships/hyperlink" Target="https://www.queensu.ca/itrack/ITS/telecom/telrepair.html" TargetMode="External"/><Relationship Id="rId20" Type="http://schemas.openxmlformats.org/officeDocument/2006/relationships/hyperlink" Target="http://www.queensu.ca/equity/sites/webpublish.queensu.ca.eqwww/files/files/accessibility/policy/Queens-University-Comprehensive-Strategic-Framework-For-Accessibility-Oct-2011.pdf" TargetMode="External"/><Relationship Id="rId41" Type="http://schemas.openxmlformats.org/officeDocument/2006/relationships/hyperlink" Target="http://www.queensu.ca/studentwellness/" TargetMode="External"/><Relationship Id="rId54" Type="http://schemas.openxmlformats.org/officeDocument/2006/relationships/hyperlink" Target="http://pm.gc.ca/eng/minister-sport-and-persons-disabilities-mandate-letter" TargetMode="External"/><Relationship Id="rId62" Type="http://schemas.openxmlformats.org/officeDocument/2006/relationships/hyperlink" Target="https://www.ontario.ca/laws/regulation/110191" TargetMode="External"/><Relationship Id="rId70" Type="http://schemas.openxmlformats.org/officeDocument/2006/relationships/hyperlink" Target="mailto:Campus.Security@queensu.ca" TargetMode="External"/><Relationship Id="rId75" Type="http://schemas.openxmlformats.org/officeDocument/2006/relationships/hyperlink" Target="https://www.queensu.ca/forms/accessibility/customer-service-accessibility-feedbac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cid:image001.jpg@01CECA7F.E7134460" TargetMode="External"/><Relationship Id="rId28" Type="http://schemas.openxmlformats.org/officeDocument/2006/relationships/hyperlink" Target="http://www.queensu.ca/equity/accessibility/framework/employment.html" TargetMode="External"/><Relationship Id="rId36" Type="http://schemas.openxmlformats.org/officeDocument/2006/relationships/hyperlink" Target="http://www.queensu.ca/secretariat/policies/human-resources/accommodation-disabilities-workplace-policy/disability-accommodation" TargetMode="External"/><Relationship Id="rId49" Type="http://schemas.openxmlformats.org/officeDocument/2006/relationships/hyperlink" Target="http://www.queensu.ca/secretariat/policies/human-resources/return-work-policy" TargetMode="External"/><Relationship Id="rId57" Type="http://schemas.openxmlformats.org/officeDocument/2006/relationships/hyperlink" Target="http://www.e-laws.gov.on.ca/html/statutes/english/elaws_statutes_05a11_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A36FF-A070-433F-9A9B-91EA9D21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9494</Words>
  <Characters>54120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Accessibility Plan Multi-year 2016-2025</vt:lpstr>
    </vt:vector>
  </TitlesOfParts>
  <Company>Queen's University</Company>
  <LinksUpToDate>false</LinksUpToDate>
  <CharactersWithSpaces>63488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Plan Multi-year 2016-2025</dc:title>
  <dc:creator>Equity Office</dc:creator>
  <cp:lastModifiedBy>Andrew Ashby</cp:lastModifiedBy>
  <cp:revision>5</cp:revision>
  <cp:lastPrinted>2016-11-07T19:55:00Z</cp:lastPrinted>
  <dcterms:created xsi:type="dcterms:W3CDTF">2017-11-27T16:10:00Z</dcterms:created>
  <dcterms:modified xsi:type="dcterms:W3CDTF">2017-11-28T18:29:00Z</dcterms:modified>
</cp:coreProperties>
</file>