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85AD6" w14:textId="77777777" w:rsidR="00011A7D" w:rsidRDefault="00011A7D" w:rsidP="000D5874">
      <w:pPr>
        <w:spacing w:after="600" w:line="240" w:lineRule="auto"/>
        <w:jc w:val="center"/>
        <w:rPr>
          <w:rFonts w:cstheme="minorHAnsi"/>
          <w:sz w:val="72"/>
          <w:szCs w:val="72"/>
        </w:rPr>
      </w:pPr>
    </w:p>
    <w:p w14:paraId="1461AE71" w14:textId="77777777" w:rsidR="000D5874" w:rsidRPr="00657CCC" w:rsidRDefault="00C90ABF" w:rsidP="000D5874">
      <w:pPr>
        <w:spacing w:after="600" w:line="240" w:lineRule="auto"/>
        <w:jc w:val="center"/>
        <w:rPr>
          <w:rFonts w:cstheme="minorHAnsi"/>
          <w:sz w:val="72"/>
          <w:szCs w:val="72"/>
        </w:rPr>
      </w:pPr>
      <w:r w:rsidRPr="00657CCC">
        <w:rPr>
          <w:rFonts w:cstheme="minorHAnsi"/>
          <w:sz w:val="72"/>
          <w:szCs w:val="72"/>
        </w:rPr>
        <w:t xml:space="preserve">Queen’s </w:t>
      </w:r>
      <w:r w:rsidR="000D5874" w:rsidRPr="00657CCC">
        <w:rPr>
          <w:rFonts w:cstheme="minorHAnsi"/>
          <w:sz w:val="72"/>
          <w:szCs w:val="72"/>
        </w:rPr>
        <w:t>University</w:t>
      </w:r>
    </w:p>
    <w:p w14:paraId="026DF1B5" w14:textId="77777777" w:rsidR="00541E29" w:rsidRPr="00657CCC" w:rsidRDefault="00C90ABF" w:rsidP="00144A22">
      <w:pPr>
        <w:spacing w:after="600" w:line="240" w:lineRule="auto"/>
        <w:jc w:val="center"/>
        <w:rPr>
          <w:rFonts w:cstheme="minorHAnsi"/>
          <w:sz w:val="72"/>
          <w:szCs w:val="72"/>
        </w:rPr>
      </w:pPr>
      <w:r w:rsidRPr="00657CCC">
        <w:rPr>
          <w:rFonts w:cstheme="minorHAnsi"/>
          <w:sz w:val="72"/>
          <w:szCs w:val="72"/>
        </w:rPr>
        <w:t xml:space="preserve">Accessibility </w:t>
      </w:r>
      <w:r w:rsidR="00066863" w:rsidRPr="00657CCC">
        <w:rPr>
          <w:rFonts w:cstheme="minorHAnsi"/>
          <w:sz w:val="72"/>
          <w:szCs w:val="72"/>
        </w:rPr>
        <w:t xml:space="preserve">Annual </w:t>
      </w:r>
      <w:r w:rsidR="006079EB" w:rsidRPr="00657CCC">
        <w:rPr>
          <w:rFonts w:cstheme="minorHAnsi"/>
          <w:sz w:val="72"/>
          <w:szCs w:val="72"/>
        </w:rPr>
        <w:t xml:space="preserve">Status </w:t>
      </w:r>
      <w:r w:rsidR="00066863" w:rsidRPr="00657CCC">
        <w:rPr>
          <w:rFonts w:cstheme="minorHAnsi"/>
          <w:sz w:val="72"/>
          <w:szCs w:val="72"/>
        </w:rPr>
        <w:t>Report</w:t>
      </w:r>
    </w:p>
    <w:p w14:paraId="4EDE5943" w14:textId="77777777" w:rsidR="00144A22" w:rsidRPr="00657CCC" w:rsidRDefault="00066863" w:rsidP="00144A22">
      <w:pPr>
        <w:spacing w:after="4080" w:line="240" w:lineRule="auto"/>
        <w:jc w:val="center"/>
        <w:rPr>
          <w:rFonts w:cstheme="minorHAnsi"/>
          <w:sz w:val="72"/>
          <w:szCs w:val="72"/>
        </w:rPr>
      </w:pPr>
      <w:r w:rsidRPr="00657CCC">
        <w:rPr>
          <w:rFonts w:cstheme="minorHAnsi"/>
          <w:sz w:val="72"/>
          <w:szCs w:val="72"/>
        </w:rPr>
        <w:t>2</w:t>
      </w:r>
      <w:r w:rsidR="00011A7D">
        <w:rPr>
          <w:rFonts w:cstheme="minorHAnsi"/>
          <w:sz w:val="72"/>
          <w:szCs w:val="72"/>
        </w:rPr>
        <w:t>0</w:t>
      </w:r>
      <w:r w:rsidRPr="00657CCC">
        <w:rPr>
          <w:rFonts w:cstheme="minorHAnsi"/>
          <w:sz w:val="72"/>
          <w:szCs w:val="72"/>
        </w:rPr>
        <w:t>14</w:t>
      </w:r>
    </w:p>
    <w:p w14:paraId="43133523" w14:textId="77777777" w:rsidR="00C90ABF" w:rsidRDefault="00144A22" w:rsidP="00144A22">
      <w:pPr>
        <w:spacing w:after="4080" w:line="240" w:lineRule="auto"/>
        <w:jc w:val="center"/>
        <w:rPr>
          <w:rStyle w:val="Hyperlink"/>
          <w:rFonts w:cstheme="minorHAnsi"/>
          <w:sz w:val="28"/>
          <w:szCs w:val="28"/>
        </w:rPr>
        <w:sectPr w:rsidR="00C90ABF" w:rsidSect="00011A7D">
          <w:footerReference w:type="default" r:id="rId8"/>
          <w:headerReference w:type="first" r:id="rId9"/>
          <w:pgSz w:w="12240" w:h="15840"/>
          <w:pgMar w:top="1440" w:right="49" w:bottom="1440" w:left="0" w:header="283" w:footer="708" w:gutter="0"/>
          <w:pgNumType w:start="1"/>
          <w:cols w:space="708"/>
          <w:titlePg/>
          <w:docGrid w:linePitch="360"/>
        </w:sectPr>
      </w:pPr>
      <w:r>
        <w:rPr>
          <w:rFonts w:cstheme="minorHAnsi"/>
          <w:sz w:val="28"/>
          <w:szCs w:val="28"/>
        </w:rPr>
        <w:t>T</w:t>
      </w:r>
      <w:r w:rsidR="00430172" w:rsidRPr="009F0E4B">
        <w:rPr>
          <w:rFonts w:cstheme="minorHAnsi"/>
          <w:sz w:val="28"/>
          <w:szCs w:val="28"/>
        </w:rPr>
        <w:t xml:space="preserve">his document is available in alternate formats, upon request. Please contact us at 613-533-2563 or by email at </w:t>
      </w:r>
      <w:hyperlink r:id="rId10" w:history="1">
        <w:r w:rsidR="00162B72" w:rsidRPr="009F0E4B">
          <w:rPr>
            <w:rStyle w:val="Hyperlink"/>
            <w:rFonts w:cstheme="minorHAnsi"/>
            <w:sz w:val="28"/>
            <w:szCs w:val="28"/>
          </w:rPr>
          <w:t>equity@queensu.ca</w:t>
        </w:r>
      </w:hyperlink>
    </w:p>
    <w:p w14:paraId="52EA495E" w14:textId="77777777" w:rsidR="00090B8A" w:rsidRPr="00AE4DE9" w:rsidRDefault="00090B8A" w:rsidP="00090B8A">
      <w:pPr>
        <w:spacing w:before="100" w:beforeAutospacing="1" w:after="100" w:afterAutospacing="1" w:line="240" w:lineRule="auto"/>
        <w:rPr>
          <w:rFonts w:eastAsia="Times New Roman" w:cstheme="minorHAnsi"/>
          <w:sz w:val="28"/>
          <w:szCs w:val="28"/>
        </w:rPr>
      </w:pPr>
      <w:r w:rsidRPr="00AE4DE9">
        <w:rPr>
          <w:rFonts w:eastAsia="Times New Roman" w:cstheme="minorHAnsi"/>
          <w:b/>
          <w:sz w:val="28"/>
          <w:szCs w:val="28"/>
        </w:rPr>
        <w:lastRenderedPageBreak/>
        <w:t>Public Communication of the Accessibility Plan</w:t>
      </w:r>
      <w:r w:rsidR="0055348A" w:rsidRPr="00AE4DE9">
        <w:rPr>
          <w:rFonts w:eastAsia="Times New Roman" w:cstheme="minorHAnsi"/>
          <w:b/>
          <w:sz w:val="28"/>
          <w:szCs w:val="28"/>
        </w:rPr>
        <w:t>s</w:t>
      </w:r>
      <w:r w:rsidR="00066863" w:rsidRPr="00AE4DE9">
        <w:rPr>
          <w:rFonts w:eastAsia="Times New Roman" w:cstheme="minorHAnsi"/>
          <w:b/>
          <w:sz w:val="28"/>
          <w:szCs w:val="28"/>
        </w:rPr>
        <w:t xml:space="preserve"> and Annual Reports</w:t>
      </w:r>
    </w:p>
    <w:p w14:paraId="010D8A32" w14:textId="77777777" w:rsidR="00090B8A" w:rsidRPr="00AE4DE9" w:rsidRDefault="00090B8A" w:rsidP="00090B8A">
      <w:pPr>
        <w:spacing w:before="100" w:beforeAutospacing="1" w:after="100" w:afterAutospacing="1" w:line="240" w:lineRule="auto"/>
        <w:rPr>
          <w:rFonts w:eastAsia="Times New Roman" w:cstheme="minorHAnsi"/>
          <w:sz w:val="28"/>
          <w:szCs w:val="28"/>
        </w:rPr>
      </w:pPr>
      <w:r w:rsidRPr="00AE4DE9">
        <w:rPr>
          <w:rFonts w:eastAsia="Times New Roman" w:cstheme="minorHAnsi"/>
          <w:sz w:val="28"/>
          <w:szCs w:val="28"/>
        </w:rPr>
        <w:t>Queen’s current and past Accessibility Plans</w:t>
      </w:r>
      <w:r w:rsidR="00066863" w:rsidRPr="00AE4DE9">
        <w:rPr>
          <w:rFonts w:eastAsia="Times New Roman" w:cstheme="minorHAnsi"/>
          <w:sz w:val="28"/>
          <w:szCs w:val="28"/>
        </w:rPr>
        <w:t xml:space="preserve"> and Annual Reports</w:t>
      </w:r>
      <w:r w:rsidRPr="00AE4DE9">
        <w:rPr>
          <w:rFonts w:eastAsia="Times New Roman" w:cstheme="minorHAnsi"/>
          <w:sz w:val="28"/>
          <w:szCs w:val="28"/>
        </w:rPr>
        <w:t xml:space="preserve"> are available:</w:t>
      </w:r>
    </w:p>
    <w:p w14:paraId="7F7B5AFB" w14:textId="77777777" w:rsidR="00090B8A" w:rsidRPr="00AE4DE9" w:rsidRDefault="00090B8A" w:rsidP="003C14DC">
      <w:pPr>
        <w:pStyle w:val="ListParagraph"/>
        <w:numPr>
          <w:ilvl w:val="0"/>
          <w:numId w:val="1"/>
        </w:numPr>
        <w:spacing w:before="100" w:beforeAutospacing="1" w:after="100" w:afterAutospacing="1"/>
        <w:rPr>
          <w:rFonts w:eastAsia="Times New Roman" w:cstheme="minorHAnsi"/>
          <w:sz w:val="28"/>
          <w:szCs w:val="28"/>
        </w:rPr>
      </w:pPr>
      <w:r w:rsidRPr="00AE4DE9">
        <w:rPr>
          <w:rFonts w:eastAsia="Times New Roman" w:cstheme="minorHAnsi"/>
          <w:sz w:val="28"/>
          <w:szCs w:val="28"/>
        </w:rPr>
        <w:t xml:space="preserve">Online at the Equity Office website at:  </w:t>
      </w:r>
      <w:hyperlink r:id="rId11" w:history="1">
        <w:r w:rsidR="006C1BE3" w:rsidRPr="00AE4DE9">
          <w:rPr>
            <w:rStyle w:val="Hyperlink"/>
            <w:sz w:val="28"/>
            <w:szCs w:val="28"/>
          </w:rPr>
          <w:t>Reports and Plans</w:t>
        </w:r>
      </w:hyperlink>
    </w:p>
    <w:p w14:paraId="3A5E3F94" w14:textId="77777777" w:rsidR="00090B8A" w:rsidRPr="00AE4DE9" w:rsidRDefault="00090B8A" w:rsidP="003C14DC">
      <w:pPr>
        <w:pStyle w:val="ListParagraph"/>
        <w:numPr>
          <w:ilvl w:val="0"/>
          <w:numId w:val="1"/>
        </w:numPr>
        <w:spacing w:before="100" w:beforeAutospacing="1" w:after="100" w:afterAutospacing="1"/>
        <w:rPr>
          <w:rFonts w:eastAsia="Times New Roman" w:cstheme="minorHAnsi"/>
          <w:sz w:val="28"/>
          <w:szCs w:val="28"/>
        </w:rPr>
      </w:pPr>
      <w:r w:rsidRPr="00AE4DE9">
        <w:rPr>
          <w:rFonts w:eastAsia="Times New Roman" w:cstheme="minorHAnsi"/>
          <w:sz w:val="28"/>
          <w:szCs w:val="28"/>
        </w:rPr>
        <w:t>On written request to the Equity Office, Queen’s University, Mackintosh-Corry Hall, Room B513, Kingston, ON, K7L 3N6</w:t>
      </w:r>
    </w:p>
    <w:p w14:paraId="4CB9E177" w14:textId="77777777" w:rsidR="00090B8A" w:rsidRPr="00AE4DE9" w:rsidRDefault="00090B8A" w:rsidP="003C14DC">
      <w:pPr>
        <w:pStyle w:val="ListParagraph"/>
        <w:numPr>
          <w:ilvl w:val="0"/>
          <w:numId w:val="1"/>
        </w:numPr>
        <w:spacing w:before="100" w:beforeAutospacing="1" w:after="100" w:afterAutospacing="1"/>
        <w:rPr>
          <w:rFonts w:eastAsia="Times New Roman" w:cstheme="minorHAnsi"/>
          <w:sz w:val="28"/>
          <w:szCs w:val="28"/>
        </w:rPr>
      </w:pPr>
      <w:r w:rsidRPr="00AE4DE9">
        <w:rPr>
          <w:rFonts w:eastAsia="Times New Roman" w:cstheme="minorHAnsi"/>
          <w:sz w:val="28"/>
          <w:szCs w:val="28"/>
        </w:rPr>
        <w:t>By telephoning the Equity Office at (613)533-2563</w:t>
      </w:r>
    </w:p>
    <w:p w14:paraId="120B5DC3" w14:textId="77777777" w:rsidR="00090B8A" w:rsidRPr="00AE4DE9" w:rsidRDefault="00090B8A" w:rsidP="003C14DC">
      <w:pPr>
        <w:pStyle w:val="ListParagraph"/>
        <w:numPr>
          <w:ilvl w:val="0"/>
          <w:numId w:val="1"/>
        </w:numPr>
        <w:spacing w:before="100" w:beforeAutospacing="1" w:after="100" w:afterAutospacing="1"/>
        <w:rPr>
          <w:rFonts w:eastAsia="Times New Roman" w:cstheme="minorHAnsi"/>
          <w:sz w:val="28"/>
          <w:szCs w:val="28"/>
        </w:rPr>
      </w:pPr>
      <w:r w:rsidRPr="00AE4DE9">
        <w:rPr>
          <w:rFonts w:eastAsia="Times New Roman" w:cstheme="minorHAnsi"/>
          <w:sz w:val="28"/>
          <w:szCs w:val="28"/>
        </w:rPr>
        <w:t xml:space="preserve">By email at </w:t>
      </w:r>
      <w:hyperlink r:id="rId12" w:history="1">
        <w:r w:rsidRPr="00AE4DE9">
          <w:rPr>
            <w:rStyle w:val="Hyperlink"/>
            <w:rFonts w:eastAsia="Times New Roman" w:cstheme="minorHAnsi"/>
            <w:sz w:val="28"/>
            <w:szCs w:val="28"/>
          </w:rPr>
          <w:t>equity@queensu.ca</w:t>
        </w:r>
      </w:hyperlink>
    </w:p>
    <w:p w14:paraId="5918B8E9" w14:textId="77777777" w:rsidR="00090B8A" w:rsidRPr="00AE4DE9" w:rsidRDefault="00090B8A" w:rsidP="003C14DC">
      <w:pPr>
        <w:pStyle w:val="ListParagraph"/>
        <w:numPr>
          <w:ilvl w:val="0"/>
          <w:numId w:val="1"/>
        </w:numPr>
        <w:spacing w:before="100" w:beforeAutospacing="1" w:after="100" w:afterAutospacing="1"/>
        <w:rPr>
          <w:rFonts w:eastAsia="Times New Roman" w:cstheme="minorHAnsi"/>
          <w:sz w:val="28"/>
          <w:szCs w:val="28"/>
        </w:rPr>
      </w:pPr>
      <w:r w:rsidRPr="00AE4DE9">
        <w:rPr>
          <w:rFonts w:cstheme="minorHAnsi"/>
          <w:sz w:val="28"/>
          <w:szCs w:val="28"/>
        </w:rPr>
        <w:t>In alternate format as requested</w:t>
      </w:r>
    </w:p>
    <w:p w14:paraId="247AAFE4" w14:textId="77777777" w:rsidR="00090B8A" w:rsidRPr="00AE4DE9" w:rsidRDefault="00501071" w:rsidP="00090B8A">
      <w:pPr>
        <w:rPr>
          <w:rFonts w:cstheme="minorHAnsi"/>
          <w:b/>
          <w:sz w:val="28"/>
          <w:szCs w:val="28"/>
        </w:rPr>
      </w:pPr>
      <w:r w:rsidRPr="00AE4DE9">
        <w:rPr>
          <w:rFonts w:cstheme="minorHAnsi"/>
          <w:b/>
          <w:sz w:val="28"/>
          <w:szCs w:val="28"/>
        </w:rPr>
        <w:t>Accessibility Feedback</w:t>
      </w:r>
    </w:p>
    <w:p w14:paraId="11BA913A" w14:textId="77777777" w:rsidR="00501071" w:rsidRPr="00AE4DE9" w:rsidRDefault="00501071" w:rsidP="00501071">
      <w:pPr>
        <w:pStyle w:val="NormalWeb"/>
        <w:jc w:val="both"/>
        <w:rPr>
          <w:rFonts w:asciiTheme="minorHAnsi" w:hAnsiTheme="minorHAnsi" w:cstheme="minorHAnsi"/>
          <w:color w:val="000000"/>
          <w:sz w:val="28"/>
          <w:szCs w:val="28"/>
        </w:rPr>
      </w:pPr>
      <w:r w:rsidRPr="00AE4DE9">
        <w:rPr>
          <w:rFonts w:asciiTheme="minorHAnsi" w:hAnsiTheme="minorHAnsi" w:cstheme="minorHAnsi"/>
          <w:color w:val="000000"/>
          <w:sz w:val="28"/>
          <w:szCs w:val="28"/>
        </w:rPr>
        <w:t xml:space="preserve">Queen's recognizes that feedback is critical to the process of identifying and removing barriers to participation as well as improving how we deliver our services to persons with disabilities.  The </w:t>
      </w:r>
      <w:hyperlink r:id="rId13" w:history="1">
        <w:r w:rsidRPr="00AE4DE9">
          <w:rPr>
            <w:rStyle w:val="Hyperlink"/>
            <w:rFonts w:asciiTheme="minorHAnsi" w:hAnsiTheme="minorHAnsi" w:cstheme="minorHAnsi"/>
            <w:sz w:val="28"/>
            <w:szCs w:val="28"/>
          </w:rPr>
          <w:t>Accessibility Feedback Online Form</w:t>
        </w:r>
      </w:hyperlink>
      <w:r w:rsidRPr="00AE4DE9">
        <w:rPr>
          <w:rFonts w:asciiTheme="minorHAnsi" w:hAnsiTheme="minorHAnsi" w:cstheme="minorHAnsi"/>
          <w:color w:val="000000"/>
          <w:sz w:val="28"/>
          <w:szCs w:val="28"/>
        </w:rPr>
        <w:t xml:space="preserve"> can be used to submit feedback about accessibility to the Equity Office.</w:t>
      </w:r>
    </w:p>
    <w:p w14:paraId="3D6217EA" w14:textId="77777777" w:rsidR="00D617BF" w:rsidRDefault="00501071" w:rsidP="00501071">
      <w:pPr>
        <w:pStyle w:val="NormalWeb"/>
        <w:rPr>
          <w:rFonts w:asciiTheme="minorHAnsi" w:hAnsiTheme="minorHAnsi" w:cstheme="minorHAnsi"/>
          <w:color w:val="000000"/>
          <w:sz w:val="28"/>
          <w:szCs w:val="28"/>
        </w:rPr>
      </w:pPr>
      <w:r w:rsidRPr="00AE4DE9">
        <w:rPr>
          <w:rFonts w:asciiTheme="minorHAnsi" w:hAnsiTheme="minorHAnsi" w:cstheme="minorHAnsi"/>
          <w:color w:val="000000"/>
          <w:sz w:val="28"/>
          <w:szCs w:val="28"/>
        </w:rPr>
        <w:t>Feedback may also be given by emailing the Equity Office at </w:t>
      </w:r>
      <w:hyperlink r:id="rId14" w:history="1">
        <w:r w:rsidRPr="00AE4DE9">
          <w:rPr>
            <w:rStyle w:val="Hyperlink"/>
            <w:rFonts w:asciiTheme="minorHAnsi" w:hAnsiTheme="minorHAnsi" w:cstheme="minorHAnsi"/>
            <w:sz w:val="28"/>
            <w:szCs w:val="28"/>
          </w:rPr>
          <w:t>equity@queensu.ca</w:t>
        </w:r>
      </w:hyperlink>
      <w:r w:rsidRPr="00AE4DE9">
        <w:rPr>
          <w:rFonts w:asciiTheme="minorHAnsi" w:hAnsiTheme="minorHAnsi" w:cstheme="minorHAnsi"/>
          <w:color w:val="000000"/>
          <w:sz w:val="28"/>
          <w:szCs w:val="28"/>
        </w:rPr>
        <w:t>, by telephone at (613) 533-2563, or by fax at (613) 533-2031. You may also send feedback via regular mail:</w:t>
      </w:r>
      <w:r w:rsidR="002C4153" w:rsidRPr="00AE4DE9">
        <w:rPr>
          <w:rFonts w:asciiTheme="minorHAnsi" w:hAnsiTheme="minorHAnsi" w:cstheme="minorHAnsi"/>
          <w:color w:val="000000"/>
          <w:sz w:val="28"/>
          <w:szCs w:val="28"/>
        </w:rPr>
        <w:t xml:space="preserve"> </w:t>
      </w:r>
    </w:p>
    <w:p w14:paraId="773C4E89" w14:textId="77777777" w:rsidR="00501071" w:rsidRPr="00AE4DE9" w:rsidRDefault="00501071" w:rsidP="00501071">
      <w:pPr>
        <w:pStyle w:val="NormalWeb"/>
        <w:rPr>
          <w:rFonts w:asciiTheme="minorHAnsi" w:hAnsiTheme="minorHAnsi" w:cstheme="minorHAnsi"/>
          <w:color w:val="000000"/>
          <w:sz w:val="28"/>
          <w:szCs w:val="28"/>
        </w:rPr>
      </w:pPr>
      <w:r w:rsidRPr="00AE4DE9">
        <w:rPr>
          <w:rFonts w:asciiTheme="minorHAnsi" w:hAnsiTheme="minorHAnsi" w:cstheme="minorHAnsi"/>
          <w:color w:val="000000"/>
          <w:sz w:val="28"/>
          <w:szCs w:val="28"/>
        </w:rPr>
        <w:t>Equity Office</w:t>
      </w:r>
      <w:r w:rsidRPr="00AE4DE9">
        <w:rPr>
          <w:rFonts w:asciiTheme="minorHAnsi" w:hAnsiTheme="minorHAnsi" w:cstheme="minorHAnsi"/>
          <w:color w:val="000000"/>
          <w:sz w:val="28"/>
          <w:szCs w:val="28"/>
        </w:rPr>
        <w:br/>
        <w:t>Queen's University</w:t>
      </w:r>
      <w:r w:rsidRPr="00AE4DE9">
        <w:rPr>
          <w:rFonts w:asciiTheme="minorHAnsi" w:hAnsiTheme="minorHAnsi" w:cstheme="minorHAnsi"/>
          <w:color w:val="000000"/>
          <w:sz w:val="28"/>
          <w:szCs w:val="28"/>
        </w:rPr>
        <w:br/>
        <w:t>Mackintosh-Corry Hall, Room B511</w:t>
      </w:r>
      <w:r w:rsidRPr="00AE4DE9">
        <w:rPr>
          <w:rFonts w:asciiTheme="minorHAnsi" w:hAnsiTheme="minorHAnsi" w:cstheme="minorHAnsi"/>
          <w:color w:val="000000"/>
          <w:sz w:val="28"/>
          <w:szCs w:val="28"/>
        </w:rPr>
        <w:br/>
        <w:t>99 University Avenue</w:t>
      </w:r>
      <w:r w:rsidRPr="00AE4DE9">
        <w:rPr>
          <w:rFonts w:asciiTheme="minorHAnsi" w:hAnsiTheme="minorHAnsi" w:cstheme="minorHAnsi"/>
          <w:color w:val="000000"/>
          <w:sz w:val="28"/>
          <w:szCs w:val="28"/>
        </w:rPr>
        <w:br/>
        <w:t>Kingston, ON, K7L 3N6</w:t>
      </w:r>
    </w:p>
    <w:p w14:paraId="5F9DD880" w14:textId="77777777" w:rsidR="00501071" w:rsidRPr="00AE4DE9" w:rsidRDefault="00501071" w:rsidP="00090B8A">
      <w:pPr>
        <w:rPr>
          <w:rFonts w:cstheme="minorHAnsi"/>
          <w:b/>
          <w:sz w:val="28"/>
          <w:szCs w:val="28"/>
        </w:rPr>
      </w:pPr>
    </w:p>
    <w:p w14:paraId="458794B8" w14:textId="77777777" w:rsidR="00090B8A" w:rsidRPr="009F0E4B" w:rsidRDefault="00090B8A">
      <w:pPr>
        <w:rPr>
          <w:rFonts w:cstheme="minorHAnsi"/>
          <w:b/>
          <w:sz w:val="28"/>
          <w:szCs w:val="28"/>
        </w:rPr>
      </w:pPr>
      <w:r w:rsidRPr="009F0E4B">
        <w:rPr>
          <w:rFonts w:cstheme="minorHAnsi"/>
          <w:b/>
          <w:sz w:val="28"/>
          <w:szCs w:val="28"/>
        </w:rPr>
        <w:br w:type="page"/>
      </w:r>
    </w:p>
    <w:p w14:paraId="7D613819" w14:textId="77777777" w:rsidR="00B40B31" w:rsidRPr="009F0E4B" w:rsidRDefault="00463865" w:rsidP="00463865">
      <w:pPr>
        <w:pBdr>
          <w:bottom w:val="single" w:sz="6" w:space="1" w:color="auto"/>
        </w:pBdr>
        <w:rPr>
          <w:rFonts w:cstheme="minorHAnsi"/>
          <w:sz w:val="36"/>
          <w:szCs w:val="36"/>
        </w:rPr>
      </w:pPr>
      <w:r w:rsidRPr="009F0E4B">
        <w:rPr>
          <w:rFonts w:cstheme="minorHAnsi"/>
          <w:sz w:val="36"/>
          <w:szCs w:val="36"/>
        </w:rPr>
        <w:lastRenderedPageBreak/>
        <w:t xml:space="preserve">QUEEN’S </w:t>
      </w:r>
      <w:r w:rsidR="00E536AB" w:rsidRPr="009F0E4B">
        <w:rPr>
          <w:rFonts w:cstheme="minorHAnsi"/>
          <w:sz w:val="36"/>
          <w:szCs w:val="36"/>
        </w:rPr>
        <w:t>UNIVERSITY ACCESSIBILITY</w:t>
      </w:r>
      <w:r w:rsidRPr="009F0E4B">
        <w:rPr>
          <w:rFonts w:cstheme="minorHAnsi"/>
          <w:sz w:val="36"/>
          <w:szCs w:val="36"/>
        </w:rPr>
        <w:t xml:space="preserve"> </w:t>
      </w:r>
      <w:r w:rsidR="00732E28">
        <w:rPr>
          <w:rFonts w:cstheme="minorHAnsi"/>
          <w:sz w:val="36"/>
          <w:szCs w:val="36"/>
        </w:rPr>
        <w:t>ANNUAL REPORT 2014</w:t>
      </w:r>
      <w:r w:rsidR="0055348A" w:rsidRPr="009F0E4B">
        <w:rPr>
          <w:rFonts w:cstheme="minorHAnsi"/>
          <w:sz w:val="36"/>
          <w:szCs w:val="36"/>
        </w:rPr>
        <w:t xml:space="preserve"> </w:t>
      </w:r>
    </w:p>
    <w:sdt>
      <w:sdtPr>
        <w:rPr>
          <w:rFonts w:asciiTheme="minorHAnsi" w:eastAsiaTheme="minorEastAsia" w:hAnsiTheme="minorHAnsi" w:cstheme="minorHAnsi"/>
          <w:b w:val="0"/>
          <w:bCs w:val="0"/>
          <w:color w:val="auto"/>
          <w:sz w:val="22"/>
          <w:szCs w:val="22"/>
        </w:rPr>
        <w:id w:val="-1428025450"/>
        <w:docPartObj>
          <w:docPartGallery w:val="Table of Contents"/>
          <w:docPartUnique/>
        </w:docPartObj>
      </w:sdtPr>
      <w:sdtEndPr>
        <w:rPr>
          <w:noProof/>
        </w:rPr>
      </w:sdtEndPr>
      <w:sdtContent>
        <w:p w14:paraId="15B20E72" w14:textId="77777777" w:rsidR="003432D8" w:rsidRPr="009F0E4B" w:rsidRDefault="003432D8">
          <w:pPr>
            <w:pStyle w:val="TOCHeading"/>
            <w:rPr>
              <w:rFonts w:asciiTheme="minorHAnsi" w:hAnsiTheme="minorHAnsi" w:cstheme="minorHAnsi"/>
            </w:rPr>
          </w:pPr>
          <w:r w:rsidRPr="009F0E4B">
            <w:rPr>
              <w:rFonts w:asciiTheme="minorHAnsi" w:hAnsiTheme="minorHAnsi" w:cstheme="minorHAnsi"/>
            </w:rPr>
            <w:t>Table of Contents</w:t>
          </w:r>
          <w:r w:rsidRPr="009F0E4B">
            <w:rPr>
              <w:rFonts w:asciiTheme="minorHAnsi" w:hAnsiTheme="minorHAnsi" w:cstheme="minorHAnsi"/>
            </w:rPr>
            <w:br/>
          </w:r>
        </w:p>
        <w:p w14:paraId="6AE0EC86" w14:textId="77777777" w:rsidR="001A7025" w:rsidRDefault="003432D8">
          <w:pPr>
            <w:pStyle w:val="TOC1"/>
            <w:rPr>
              <w:b w:val="0"/>
              <w:sz w:val="22"/>
              <w:szCs w:val="22"/>
            </w:rPr>
          </w:pPr>
          <w:r w:rsidRPr="009F0E4B">
            <w:rPr>
              <w:rFonts w:cstheme="minorHAnsi"/>
            </w:rPr>
            <w:fldChar w:fldCharType="begin"/>
          </w:r>
          <w:r w:rsidRPr="009F0E4B">
            <w:rPr>
              <w:rFonts w:cstheme="minorHAnsi"/>
            </w:rPr>
            <w:instrText xml:space="preserve"> TOC \o "1-3" \h \z \u </w:instrText>
          </w:r>
          <w:r w:rsidRPr="009F0E4B">
            <w:rPr>
              <w:rFonts w:cstheme="minorHAnsi"/>
            </w:rPr>
            <w:fldChar w:fldCharType="separate"/>
          </w:r>
          <w:hyperlink w:anchor="_Toc392242954" w:history="1">
            <w:r w:rsidR="001A7025" w:rsidRPr="00AB7873">
              <w:rPr>
                <w:rStyle w:val="Hyperlink"/>
                <w:rFonts w:cstheme="minorHAnsi"/>
              </w:rPr>
              <w:t>Section One:  Introduction</w:t>
            </w:r>
            <w:r w:rsidR="001A7025">
              <w:rPr>
                <w:webHidden/>
              </w:rPr>
              <w:tab/>
            </w:r>
            <w:r w:rsidR="001A7025">
              <w:rPr>
                <w:webHidden/>
              </w:rPr>
              <w:fldChar w:fldCharType="begin"/>
            </w:r>
            <w:r w:rsidR="001A7025">
              <w:rPr>
                <w:webHidden/>
              </w:rPr>
              <w:instrText xml:space="preserve"> PAGEREF _Toc392242954 \h </w:instrText>
            </w:r>
            <w:r w:rsidR="001A7025">
              <w:rPr>
                <w:webHidden/>
              </w:rPr>
            </w:r>
            <w:r w:rsidR="001A7025">
              <w:rPr>
                <w:webHidden/>
              </w:rPr>
              <w:fldChar w:fldCharType="separate"/>
            </w:r>
            <w:r w:rsidR="001A7025">
              <w:rPr>
                <w:webHidden/>
              </w:rPr>
              <w:t>3</w:t>
            </w:r>
            <w:r w:rsidR="001A7025">
              <w:rPr>
                <w:webHidden/>
              </w:rPr>
              <w:fldChar w:fldCharType="end"/>
            </w:r>
          </w:hyperlink>
        </w:p>
        <w:p w14:paraId="51DECAF6" w14:textId="77777777" w:rsidR="001A7025" w:rsidRDefault="007323FC">
          <w:pPr>
            <w:pStyle w:val="TOC2"/>
            <w:rPr>
              <w:rFonts w:eastAsiaTheme="minorEastAsia"/>
              <w:sz w:val="22"/>
              <w:szCs w:val="22"/>
            </w:rPr>
          </w:pPr>
          <w:hyperlink w:anchor="_Toc392242955" w:history="1">
            <w:r w:rsidR="001A7025" w:rsidRPr="00AB7873">
              <w:rPr>
                <w:rStyle w:val="Hyperlink"/>
              </w:rPr>
              <w:t>Background</w:t>
            </w:r>
            <w:r w:rsidR="001A7025">
              <w:rPr>
                <w:webHidden/>
              </w:rPr>
              <w:tab/>
            </w:r>
            <w:r w:rsidR="001A7025">
              <w:rPr>
                <w:webHidden/>
              </w:rPr>
              <w:fldChar w:fldCharType="begin"/>
            </w:r>
            <w:r w:rsidR="001A7025">
              <w:rPr>
                <w:webHidden/>
              </w:rPr>
              <w:instrText xml:space="preserve"> PAGEREF _Toc392242955 \h </w:instrText>
            </w:r>
            <w:r w:rsidR="001A7025">
              <w:rPr>
                <w:webHidden/>
              </w:rPr>
            </w:r>
            <w:r w:rsidR="001A7025">
              <w:rPr>
                <w:webHidden/>
              </w:rPr>
              <w:fldChar w:fldCharType="separate"/>
            </w:r>
            <w:r w:rsidR="001A7025">
              <w:rPr>
                <w:webHidden/>
              </w:rPr>
              <w:t>3</w:t>
            </w:r>
            <w:r w:rsidR="001A7025">
              <w:rPr>
                <w:webHidden/>
              </w:rPr>
              <w:fldChar w:fldCharType="end"/>
            </w:r>
          </w:hyperlink>
        </w:p>
        <w:p w14:paraId="6B1D29FD" w14:textId="77777777" w:rsidR="001A7025" w:rsidRDefault="007323FC">
          <w:pPr>
            <w:pStyle w:val="TOC2"/>
            <w:rPr>
              <w:rFonts w:eastAsiaTheme="minorEastAsia"/>
              <w:sz w:val="22"/>
              <w:szCs w:val="22"/>
            </w:rPr>
          </w:pPr>
          <w:hyperlink w:anchor="_Toc392242956" w:history="1">
            <w:r w:rsidR="001A7025" w:rsidRPr="00AB7873">
              <w:rPr>
                <w:rStyle w:val="Hyperlink"/>
                <w:rFonts w:cstheme="minorHAnsi"/>
              </w:rPr>
              <w:t>Vision &amp; Commitment</w:t>
            </w:r>
            <w:r w:rsidR="001A7025">
              <w:rPr>
                <w:webHidden/>
              </w:rPr>
              <w:tab/>
            </w:r>
            <w:r w:rsidR="001A7025">
              <w:rPr>
                <w:webHidden/>
              </w:rPr>
              <w:fldChar w:fldCharType="begin"/>
            </w:r>
            <w:r w:rsidR="001A7025">
              <w:rPr>
                <w:webHidden/>
              </w:rPr>
              <w:instrText xml:space="preserve"> PAGEREF _Toc392242956 \h </w:instrText>
            </w:r>
            <w:r w:rsidR="001A7025">
              <w:rPr>
                <w:webHidden/>
              </w:rPr>
            </w:r>
            <w:r w:rsidR="001A7025">
              <w:rPr>
                <w:webHidden/>
              </w:rPr>
              <w:fldChar w:fldCharType="separate"/>
            </w:r>
            <w:r w:rsidR="001A7025">
              <w:rPr>
                <w:webHidden/>
              </w:rPr>
              <w:t>3</w:t>
            </w:r>
            <w:r w:rsidR="001A7025">
              <w:rPr>
                <w:webHidden/>
              </w:rPr>
              <w:fldChar w:fldCharType="end"/>
            </w:r>
          </w:hyperlink>
        </w:p>
        <w:p w14:paraId="58E0BAF5" w14:textId="77777777" w:rsidR="001A7025" w:rsidRDefault="007323FC">
          <w:pPr>
            <w:pStyle w:val="TOC2"/>
            <w:rPr>
              <w:rFonts w:eastAsiaTheme="minorEastAsia"/>
              <w:sz w:val="22"/>
              <w:szCs w:val="22"/>
            </w:rPr>
          </w:pPr>
          <w:hyperlink w:anchor="_Toc392242957" w:history="1">
            <w:r w:rsidR="001A7025" w:rsidRPr="00AB7873">
              <w:rPr>
                <w:rStyle w:val="Hyperlink"/>
                <w:rFonts w:cstheme="minorHAnsi"/>
              </w:rPr>
              <w:t>Informed &amp; Committed Leadership</w:t>
            </w:r>
            <w:r w:rsidR="001A7025">
              <w:rPr>
                <w:webHidden/>
              </w:rPr>
              <w:tab/>
            </w:r>
            <w:r w:rsidR="001A7025">
              <w:rPr>
                <w:webHidden/>
              </w:rPr>
              <w:fldChar w:fldCharType="begin"/>
            </w:r>
            <w:r w:rsidR="001A7025">
              <w:rPr>
                <w:webHidden/>
              </w:rPr>
              <w:instrText xml:space="preserve"> PAGEREF _Toc392242957 \h </w:instrText>
            </w:r>
            <w:r w:rsidR="001A7025">
              <w:rPr>
                <w:webHidden/>
              </w:rPr>
            </w:r>
            <w:r w:rsidR="001A7025">
              <w:rPr>
                <w:webHidden/>
              </w:rPr>
              <w:fldChar w:fldCharType="separate"/>
            </w:r>
            <w:r w:rsidR="001A7025">
              <w:rPr>
                <w:webHidden/>
              </w:rPr>
              <w:t>3</w:t>
            </w:r>
            <w:r w:rsidR="001A7025">
              <w:rPr>
                <w:webHidden/>
              </w:rPr>
              <w:fldChar w:fldCharType="end"/>
            </w:r>
          </w:hyperlink>
        </w:p>
        <w:p w14:paraId="40712025" w14:textId="77777777" w:rsidR="001A7025" w:rsidRDefault="007323FC">
          <w:pPr>
            <w:pStyle w:val="TOC2"/>
            <w:rPr>
              <w:rFonts w:eastAsiaTheme="minorEastAsia"/>
              <w:sz w:val="22"/>
              <w:szCs w:val="22"/>
            </w:rPr>
          </w:pPr>
          <w:hyperlink w:anchor="_Toc392242958" w:history="1">
            <w:r w:rsidR="001A7025" w:rsidRPr="00AB7873">
              <w:rPr>
                <w:rStyle w:val="Hyperlink"/>
              </w:rPr>
              <w:t>Queen’s University Comprehensive Strategic Framework for Accessibility</w:t>
            </w:r>
            <w:r w:rsidR="001A7025">
              <w:rPr>
                <w:webHidden/>
              </w:rPr>
              <w:tab/>
            </w:r>
            <w:r w:rsidR="001A7025">
              <w:rPr>
                <w:webHidden/>
              </w:rPr>
              <w:fldChar w:fldCharType="begin"/>
            </w:r>
            <w:r w:rsidR="001A7025">
              <w:rPr>
                <w:webHidden/>
              </w:rPr>
              <w:instrText xml:space="preserve"> PAGEREF _Toc392242958 \h </w:instrText>
            </w:r>
            <w:r w:rsidR="001A7025">
              <w:rPr>
                <w:webHidden/>
              </w:rPr>
            </w:r>
            <w:r w:rsidR="001A7025">
              <w:rPr>
                <w:webHidden/>
              </w:rPr>
              <w:fldChar w:fldCharType="separate"/>
            </w:r>
            <w:r w:rsidR="001A7025">
              <w:rPr>
                <w:webHidden/>
              </w:rPr>
              <w:t>4</w:t>
            </w:r>
            <w:r w:rsidR="001A7025">
              <w:rPr>
                <w:webHidden/>
              </w:rPr>
              <w:fldChar w:fldCharType="end"/>
            </w:r>
          </w:hyperlink>
        </w:p>
        <w:p w14:paraId="4EEB0ECC" w14:textId="77777777" w:rsidR="001A7025" w:rsidRDefault="007323FC">
          <w:pPr>
            <w:pStyle w:val="TOC2"/>
            <w:rPr>
              <w:rFonts w:eastAsiaTheme="minorEastAsia"/>
              <w:sz w:val="22"/>
              <w:szCs w:val="22"/>
            </w:rPr>
          </w:pPr>
          <w:hyperlink w:anchor="_Toc392242959" w:history="1">
            <w:r w:rsidR="001A7025" w:rsidRPr="00AB7873">
              <w:rPr>
                <w:rStyle w:val="Hyperlink"/>
              </w:rPr>
              <w:t>Queen’s Strategic Roadmap</w:t>
            </w:r>
            <w:r w:rsidR="001A7025">
              <w:rPr>
                <w:webHidden/>
              </w:rPr>
              <w:tab/>
            </w:r>
            <w:r w:rsidR="001A7025">
              <w:rPr>
                <w:webHidden/>
              </w:rPr>
              <w:fldChar w:fldCharType="begin"/>
            </w:r>
            <w:r w:rsidR="001A7025">
              <w:rPr>
                <w:webHidden/>
              </w:rPr>
              <w:instrText xml:space="preserve"> PAGEREF _Toc392242959 \h </w:instrText>
            </w:r>
            <w:r w:rsidR="001A7025">
              <w:rPr>
                <w:webHidden/>
              </w:rPr>
            </w:r>
            <w:r w:rsidR="001A7025">
              <w:rPr>
                <w:webHidden/>
              </w:rPr>
              <w:fldChar w:fldCharType="separate"/>
            </w:r>
            <w:r w:rsidR="001A7025">
              <w:rPr>
                <w:webHidden/>
              </w:rPr>
              <w:t>5</w:t>
            </w:r>
            <w:r w:rsidR="001A7025">
              <w:rPr>
                <w:webHidden/>
              </w:rPr>
              <w:fldChar w:fldCharType="end"/>
            </w:r>
          </w:hyperlink>
        </w:p>
        <w:p w14:paraId="2AA37C68" w14:textId="77777777" w:rsidR="001A7025" w:rsidRDefault="007323FC">
          <w:pPr>
            <w:pStyle w:val="TOC1"/>
            <w:rPr>
              <w:b w:val="0"/>
              <w:sz w:val="22"/>
              <w:szCs w:val="22"/>
            </w:rPr>
          </w:pPr>
          <w:hyperlink w:anchor="_Toc392242960" w:history="1">
            <w:r w:rsidR="001A7025" w:rsidRPr="00AB7873">
              <w:rPr>
                <w:rStyle w:val="Hyperlink"/>
                <w:rFonts w:cstheme="minorHAnsi"/>
              </w:rPr>
              <w:t>Section Two: Status Update – Year 1 (2013/2014) – Meeting AODA Requirements</w:t>
            </w:r>
            <w:r w:rsidR="001A7025">
              <w:rPr>
                <w:webHidden/>
              </w:rPr>
              <w:tab/>
            </w:r>
            <w:r w:rsidR="001A7025">
              <w:rPr>
                <w:webHidden/>
              </w:rPr>
              <w:fldChar w:fldCharType="begin"/>
            </w:r>
            <w:r w:rsidR="001A7025">
              <w:rPr>
                <w:webHidden/>
              </w:rPr>
              <w:instrText xml:space="preserve"> PAGEREF _Toc392242960 \h </w:instrText>
            </w:r>
            <w:r w:rsidR="001A7025">
              <w:rPr>
                <w:webHidden/>
              </w:rPr>
            </w:r>
            <w:r w:rsidR="001A7025">
              <w:rPr>
                <w:webHidden/>
              </w:rPr>
              <w:fldChar w:fldCharType="separate"/>
            </w:r>
            <w:r w:rsidR="001A7025">
              <w:rPr>
                <w:webHidden/>
              </w:rPr>
              <w:t>7</w:t>
            </w:r>
            <w:r w:rsidR="001A7025">
              <w:rPr>
                <w:webHidden/>
              </w:rPr>
              <w:fldChar w:fldCharType="end"/>
            </w:r>
          </w:hyperlink>
        </w:p>
        <w:p w14:paraId="5CE86285" w14:textId="77777777" w:rsidR="001A7025" w:rsidRDefault="007323FC">
          <w:pPr>
            <w:pStyle w:val="TOC2"/>
            <w:rPr>
              <w:rFonts w:eastAsiaTheme="minorEastAsia"/>
              <w:sz w:val="22"/>
              <w:szCs w:val="22"/>
            </w:rPr>
          </w:pPr>
          <w:hyperlink w:anchor="_Toc392242961" w:history="1">
            <w:r w:rsidR="001A7025" w:rsidRPr="00AB7873">
              <w:rPr>
                <w:rStyle w:val="Hyperlink"/>
              </w:rPr>
              <w:t>General Requirements</w:t>
            </w:r>
            <w:r w:rsidR="001A7025">
              <w:rPr>
                <w:webHidden/>
              </w:rPr>
              <w:tab/>
            </w:r>
            <w:r w:rsidR="001A7025">
              <w:rPr>
                <w:webHidden/>
              </w:rPr>
              <w:fldChar w:fldCharType="begin"/>
            </w:r>
            <w:r w:rsidR="001A7025">
              <w:rPr>
                <w:webHidden/>
              </w:rPr>
              <w:instrText xml:space="preserve"> PAGEREF _Toc392242961 \h </w:instrText>
            </w:r>
            <w:r w:rsidR="001A7025">
              <w:rPr>
                <w:webHidden/>
              </w:rPr>
            </w:r>
            <w:r w:rsidR="001A7025">
              <w:rPr>
                <w:webHidden/>
              </w:rPr>
              <w:fldChar w:fldCharType="separate"/>
            </w:r>
            <w:r w:rsidR="001A7025">
              <w:rPr>
                <w:webHidden/>
              </w:rPr>
              <w:t>7</w:t>
            </w:r>
            <w:r w:rsidR="001A7025">
              <w:rPr>
                <w:webHidden/>
              </w:rPr>
              <w:fldChar w:fldCharType="end"/>
            </w:r>
          </w:hyperlink>
        </w:p>
        <w:p w14:paraId="5A185FC2" w14:textId="77777777" w:rsidR="001A7025" w:rsidRDefault="007323FC">
          <w:pPr>
            <w:pStyle w:val="TOC2"/>
            <w:rPr>
              <w:rFonts w:eastAsiaTheme="minorEastAsia"/>
              <w:sz w:val="22"/>
              <w:szCs w:val="22"/>
            </w:rPr>
          </w:pPr>
          <w:hyperlink w:anchor="_Toc392242962" w:history="1">
            <w:r w:rsidR="001A7025" w:rsidRPr="00AB7873">
              <w:rPr>
                <w:rStyle w:val="Hyperlink"/>
              </w:rPr>
              <w:t>Information and Communication Standards</w:t>
            </w:r>
            <w:r w:rsidR="001A7025">
              <w:rPr>
                <w:webHidden/>
              </w:rPr>
              <w:tab/>
            </w:r>
            <w:r w:rsidR="001A7025">
              <w:rPr>
                <w:webHidden/>
              </w:rPr>
              <w:fldChar w:fldCharType="begin"/>
            </w:r>
            <w:r w:rsidR="001A7025">
              <w:rPr>
                <w:webHidden/>
              </w:rPr>
              <w:instrText xml:space="preserve"> PAGEREF _Toc392242962 \h </w:instrText>
            </w:r>
            <w:r w:rsidR="001A7025">
              <w:rPr>
                <w:webHidden/>
              </w:rPr>
            </w:r>
            <w:r w:rsidR="001A7025">
              <w:rPr>
                <w:webHidden/>
              </w:rPr>
              <w:fldChar w:fldCharType="separate"/>
            </w:r>
            <w:r w:rsidR="001A7025">
              <w:rPr>
                <w:webHidden/>
              </w:rPr>
              <w:t>8</w:t>
            </w:r>
            <w:r w:rsidR="001A7025">
              <w:rPr>
                <w:webHidden/>
              </w:rPr>
              <w:fldChar w:fldCharType="end"/>
            </w:r>
          </w:hyperlink>
        </w:p>
        <w:p w14:paraId="741E6E57" w14:textId="77777777" w:rsidR="001A7025" w:rsidRDefault="007323FC">
          <w:pPr>
            <w:pStyle w:val="TOC2"/>
            <w:rPr>
              <w:rFonts w:eastAsiaTheme="minorEastAsia"/>
              <w:sz w:val="22"/>
              <w:szCs w:val="22"/>
            </w:rPr>
          </w:pPr>
          <w:hyperlink w:anchor="_Toc392242963" w:history="1">
            <w:r w:rsidR="001A7025" w:rsidRPr="00AB7873">
              <w:rPr>
                <w:rStyle w:val="Hyperlink"/>
              </w:rPr>
              <w:t>Employment Standards</w:t>
            </w:r>
            <w:r w:rsidR="001A7025">
              <w:rPr>
                <w:webHidden/>
              </w:rPr>
              <w:tab/>
            </w:r>
            <w:r w:rsidR="001A7025">
              <w:rPr>
                <w:webHidden/>
              </w:rPr>
              <w:fldChar w:fldCharType="begin"/>
            </w:r>
            <w:r w:rsidR="001A7025">
              <w:rPr>
                <w:webHidden/>
              </w:rPr>
              <w:instrText xml:space="preserve"> PAGEREF _Toc392242963 \h </w:instrText>
            </w:r>
            <w:r w:rsidR="001A7025">
              <w:rPr>
                <w:webHidden/>
              </w:rPr>
            </w:r>
            <w:r w:rsidR="001A7025">
              <w:rPr>
                <w:webHidden/>
              </w:rPr>
              <w:fldChar w:fldCharType="separate"/>
            </w:r>
            <w:r w:rsidR="001A7025">
              <w:rPr>
                <w:webHidden/>
              </w:rPr>
              <w:t>9</w:t>
            </w:r>
            <w:r w:rsidR="001A7025">
              <w:rPr>
                <w:webHidden/>
              </w:rPr>
              <w:fldChar w:fldCharType="end"/>
            </w:r>
          </w:hyperlink>
        </w:p>
        <w:p w14:paraId="4E7BE9C7" w14:textId="77777777" w:rsidR="001A7025" w:rsidRDefault="007323FC">
          <w:pPr>
            <w:pStyle w:val="TOC1"/>
            <w:rPr>
              <w:b w:val="0"/>
              <w:sz w:val="22"/>
              <w:szCs w:val="22"/>
            </w:rPr>
          </w:pPr>
          <w:hyperlink w:anchor="_Toc392242964" w:history="1">
            <w:r w:rsidR="001A7025" w:rsidRPr="00AB7873">
              <w:rPr>
                <w:rStyle w:val="Hyperlink"/>
                <w:rFonts w:cstheme="minorHAnsi"/>
              </w:rPr>
              <w:t>Section Three: Status Update – Year 1 (2013/2014) – Exceeding AODA Requirements</w:t>
            </w:r>
            <w:r w:rsidR="001A7025">
              <w:rPr>
                <w:webHidden/>
              </w:rPr>
              <w:tab/>
            </w:r>
            <w:r w:rsidR="001A7025">
              <w:rPr>
                <w:webHidden/>
              </w:rPr>
              <w:fldChar w:fldCharType="begin"/>
            </w:r>
            <w:r w:rsidR="001A7025">
              <w:rPr>
                <w:webHidden/>
              </w:rPr>
              <w:instrText xml:space="preserve"> PAGEREF _Toc392242964 \h </w:instrText>
            </w:r>
            <w:r w:rsidR="001A7025">
              <w:rPr>
                <w:webHidden/>
              </w:rPr>
            </w:r>
            <w:r w:rsidR="001A7025">
              <w:rPr>
                <w:webHidden/>
              </w:rPr>
              <w:fldChar w:fldCharType="separate"/>
            </w:r>
            <w:r w:rsidR="001A7025">
              <w:rPr>
                <w:webHidden/>
              </w:rPr>
              <w:t>10</w:t>
            </w:r>
            <w:r w:rsidR="001A7025">
              <w:rPr>
                <w:webHidden/>
              </w:rPr>
              <w:fldChar w:fldCharType="end"/>
            </w:r>
          </w:hyperlink>
        </w:p>
        <w:p w14:paraId="02C45FF9" w14:textId="77777777" w:rsidR="001A7025" w:rsidRDefault="007323FC">
          <w:pPr>
            <w:pStyle w:val="TOC2"/>
            <w:rPr>
              <w:rFonts w:eastAsiaTheme="minorEastAsia"/>
              <w:sz w:val="22"/>
              <w:szCs w:val="22"/>
            </w:rPr>
          </w:pPr>
          <w:hyperlink w:anchor="_Toc392242965" w:history="1">
            <w:r w:rsidR="001A7025" w:rsidRPr="00AB7873">
              <w:rPr>
                <w:rStyle w:val="Hyperlink"/>
              </w:rPr>
              <w:t>Accessibility Café Series</w:t>
            </w:r>
            <w:r w:rsidR="001A7025">
              <w:rPr>
                <w:webHidden/>
              </w:rPr>
              <w:tab/>
            </w:r>
            <w:r w:rsidR="001A7025">
              <w:rPr>
                <w:webHidden/>
              </w:rPr>
              <w:fldChar w:fldCharType="begin"/>
            </w:r>
            <w:r w:rsidR="001A7025">
              <w:rPr>
                <w:webHidden/>
              </w:rPr>
              <w:instrText xml:space="preserve"> PAGEREF _Toc392242965 \h </w:instrText>
            </w:r>
            <w:r w:rsidR="001A7025">
              <w:rPr>
                <w:webHidden/>
              </w:rPr>
            </w:r>
            <w:r w:rsidR="001A7025">
              <w:rPr>
                <w:webHidden/>
              </w:rPr>
              <w:fldChar w:fldCharType="separate"/>
            </w:r>
            <w:r w:rsidR="001A7025">
              <w:rPr>
                <w:webHidden/>
              </w:rPr>
              <w:t>10</w:t>
            </w:r>
            <w:r w:rsidR="001A7025">
              <w:rPr>
                <w:webHidden/>
              </w:rPr>
              <w:fldChar w:fldCharType="end"/>
            </w:r>
          </w:hyperlink>
        </w:p>
        <w:p w14:paraId="42A27D6B" w14:textId="77777777" w:rsidR="001A7025" w:rsidRDefault="007323FC">
          <w:pPr>
            <w:pStyle w:val="TOC2"/>
            <w:rPr>
              <w:rFonts w:eastAsiaTheme="minorEastAsia"/>
              <w:sz w:val="22"/>
              <w:szCs w:val="22"/>
            </w:rPr>
          </w:pPr>
          <w:hyperlink w:anchor="_Toc392242966" w:history="1">
            <w:r w:rsidR="001A7025" w:rsidRPr="00AB7873">
              <w:rPr>
                <w:rStyle w:val="Hyperlink"/>
              </w:rPr>
              <w:t>Accessibility Hub</w:t>
            </w:r>
            <w:r w:rsidR="001A7025">
              <w:rPr>
                <w:webHidden/>
              </w:rPr>
              <w:tab/>
            </w:r>
            <w:r w:rsidR="001A7025">
              <w:rPr>
                <w:webHidden/>
              </w:rPr>
              <w:fldChar w:fldCharType="begin"/>
            </w:r>
            <w:r w:rsidR="001A7025">
              <w:rPr>
                <w:webHidden/>
              </w:rPr>
              <w:instrText xml:space="preserve"> PAGEREF _Toc392242966 \h </w:instrText>
            </w:r>
            <w:r w:rsidR="001A7025">
              <w:rPr>
                <w:webHidden/>
              </w:rPr>
            </w:r>
            <w:r w:rsidR="001A7025">
              <w:rPr>
                <w:webHidden/>
              </w:rPr>
              <w:fldChar w:fldCharType="separate"/>
            </w:r>
            <w:r w:rsidR="001A7025">
              <w:rPr>
                <w:webHidden/>
              </w:rPr>
              <w:t>11</w:t>
            </w:r>
            <w:r w:rsidR="001A7025">
              <w:rPr>
                <w:webHidden/>
              </w:rPr>
              <w:fldChar w:fldCharType="end"/>
            </w:r>
          </w:hyperlink>
        </w:p>
        <w:p w14:paraId="6EB240EC" w14:textId="77777777" w:rsidR="001A7025" w:rsidRDefault="007323FC">
          <w:pPr>
            <w:pStyle w:val="TOC2"/>
            <w:rPr>
              <w:rFonts w:eastAsiaTheme="minorEastAsia"/>
              <w:sz w:val="22"/>
              <w:szCs w:val="22"/>
            </w:rPr>
          </w:pPr>
          <w:hyperlink w:anchor="_Toc392242967" w:history="1">
            <w:r w:rsidR="001A7025" w:rsidRPr="00AB7873">
              <w:rPr>
                <w:rStyle w:val="Hyperlink"/>
              </w:rPr>
              <w:t>Steve Cutway Accessibility Award</w:t>
            </w:r>
            <w:r w:rsidR="001A7025">
              <w:rPr>
                <w:webHidden/>
              </w:rPr>
              <w:tab/>
            </w:r>
            <w:r w:rsidR="001A7025">
              <w:rPr>
                <w:webHidden/>
              </w:rPr>
              <w:fldChar w:fldCharType="begin"/>
            </w:r>
            <w:r w:rsidR="001A7025">
              <w:rPr>
                <w:webHidden/>
              </w:rPr>
              <w:instrText xml:space="preserve"> PAGEREF _Toc392242967 \h </w:instrText>
            </w:r>
            <w:r w:rsidR="001A7025">
              <w:rPr>
                <w:webHidden/>
              </w:rPr>
            </w:r>
            <w:r w:rsidR="001A7025">
              <w:rPr>
                <w:webHidden/>
              </w:rPr>
              <w:fldChar w:fldCharType="separate"/>
            </w:r>
            <w:r w:rsidR="001A7025">
              <w:rPr>
                <w:webHidden/>
              </w:rPr>
              <w:t>11</w:t>
            </w:r>
            <w:r w:rsidR="001A7025">
              <w:rPr>
                <w:webHidden/>
              </w:rPr>
              <w:fldChar w:fldCharType="end"/>
            </w:r>
          </w:hyperlink>
        </w:p>
        <w:p w14:paraId="4771806A" w14:textId="77777777" w:rsidR="001A7025" w:rsidRDefault="007323FC">
          <w:pPr>
            <w:pStyle w:val="TOC2"/>
            <w:rPr>
              <w:rFonts w:eastAsiaTheme="minorEastAsia"/>
              <w:sz w:val="22"/>
              <w:szCs w:val="22"/>
            </w:rPr>
          </w:pPr>
          <w:hyperlink w:anchor="_Toc392242968" w:history="1">
            <w:r w:rsidR="001A7025" w:rsidRPr="00AB7873">
              <w:rPr>
                <w:rStyle w:val="Hyperlink"/>
              </w:rPr>
              <w:t>Procurement</w:t>
            </w:r>
            <w:r w:rsidR="001A7025">
              <w:rPr>
                <w:webHidden/>
              </w:rPr>
              <w:tab/>
            </w:r>
            <w:r w:rsidR="001A7025">
              <w:rPr>
                <w:webHidden/>
              </w:rPr>
              <w:fldChar w:fldCharType="begin"/>
            </w:r>
            <w:r w:rsidR="001A7025">
              <w:rPr>
                <w:webHidden/>
              </w:rPr>
              <w:instrText xml:space="preserve"> PAGEREF _Toc392242968 \h </w:instrText>
            </w:r>
            <w:r w:rsidR="001A7025">
              <w:rPr>
                <w:webHidden/>
              </w:rPr>
            </w:r>
            <w:r w:rsidR="001A7025">
              <w:rPr>
                <w:webHidden/>
              </w:rPr>
              <w:fldChar w:fldCharType="separate"/>
            </w:r>
            <w:r w:rsidR="001A7025">
              <w:rPr>
                <w:webHidden/>
              </w:rPr>
              <w:t>11</w:t>
            </w:r>
            <w:r w:rsidR="001A7025">
              <w:rPr>
                <w:webHidden/>
              </w:rPr>
              <w:fldChar w:fldCharType="end"/>
            </w:r>
          </w:hyperlink>
        </w:p>
        <w:p w14:paraId="685844E3" w14:textId="77777777" w:rsidR="001A7025" w:rsidRDefault="007323FC">
          <w:pPr>
            <w:pStyle w:val="TOC2"/>
            <w:rPr>
              <w:rFonts w:eastAsiaTheme="minorEastAsia"/>
              <w:sz w:val="22"/>
              <w:szCs w:val="22"/>
            </w:rPr>
          </w:pPr>
          <w:hyperlink w:anchor="_Toc392242969" w:history="1">
            <w:r w:rsidR="001A7025" w:rsidRPr="00AB7873">
              <w:rPr>
                <w:rStyle w:val="Hyperlink"/>
              </w:rPr>
              <w:t>Design of Public Space and the Built Environment</w:t>
            </w:r>
            <w:r w:rsidR="001A7025">
              <w:rPr>
                <w:webHidden/>
              </w:rPr>
              <w:tab/>
            </w:r>
            <w:r w:rsidR="001A7025">
              <w:rPr>
                <w:webHidden/>
              </w:rPr>
              <w:fldChar w:fldCharType="begin"/>
            </w:r>
            <w:r w:rsidR="001A7025">
              <w:rPr>
                <w:webHidden/>
              </w:rPr>
              <w:instrText xml:space="preserve"> PAGEREF _Toc392242969 \h </w:instrText>
            </w:r>
            <w:r w:rsidR="001A7025">
              <w:rPr>
                <w:webHidden/>
              </w:rPr>
            </w:r>
            <w:r w:rsidR="001A7025">
              <w:rPr>
                <w:webHidden/>
              </w:rPr>
              <w:fldChar w:fldCharType="separate"/>
            </w:r>
            <w:r w:rsidR="001A7025">
              <w:rPr>
                <w:webHidden/>
              </w:rPr>
              <w:t>11</w:t>
            </w:r>
            <w:r w:rsidR="001A7025">
              <w:rPr>
                <w:webHidden/>
              </w:rPr>
              <w:fldChar w:fldCharType="end"/>
            </w:r>
          </w:hyperlink>
        </w:p>
        <w:p w14:paraId="1D57A543" w14:textId="77777777" w:rsidR="001A7025" w:rsidRDefault="007323FC">
          <w:pPr>
            <w:pStyle w:val="TOC2"/>
            <w:rPr>
              <w:rFonts w:eastAsiaTheme="minorEastAsia"/>
              <w:sz w:val="22"/>
              <w:szCs w:val="22"/>
            </w:rPr>
          </w:pPr>
          <w:hyperlink w:anchor="_Toc392242970" w:history="1">
            <w:r w:rsidR="001A7025" w:rsidRPr="00AB7873">
              <w:rPr>
                <w:rStyle w:val="Hyperlink"/>
              </w:rPr>
              <w:t>Education, Training, &amp; Awareness</w:t>
            </w:r>
            <w:r w:rsidR="001A7025">
              <w:rPr>
                <w:webHidden/>
              </w:rPr>
              <w:tab/>
            </w:r>
            <w:r w:rsidR="001A7025">
              <w:rPr>
                <w:webHidden/>
              </w:rPr>
              <w:fldChar w:fldCharType="begin"/>
            </w:r>
            <w:r w:rsidR="001A7025">
              <w:rPr>
                <w:webHidden/>
              </w:rPr>
              <w:instrText xml:space="preserve"> PAGEREF _Toc392242970 \h </w:instrText>
            </w:r>
            <w:r w:rsidR="001A7025">
              <w:rPr>
                <w:webHidden/>
              </w:rPr>
            </w:r>
            <w:r w:rsidR="001A7025">
              <w:rPr>
                <w:webHidden/>
              </w:rPr>
              <w:fldChar w:fldCharType="separate"/>
            </w:r>
            <w:r w:rsidR="001A7025">
              <w:rPr>
                <w:webHidden/>
              </w:rPr>
              <w:t>12</w:t>
            </w:r>
            <w:r w:rsidR="001A7025">
              <w:rPr>
                <w:webHidden/>
              </w:rPr>
              <w:fldChar w:fldCharType="end"/>
            </w:r>
          </w:hyperlink>
        </w:p>
        <w:p w14:paraId="466BCB4A" w14:textId="77777777" w:rsidR="001A7025" w:rsidRDefault="007323FC">
          <w:pPr>
            <w:pStyle w:val="TOC2"/>
            <w:rPr>
              <w:rFonts w:eastAsiaTheme="minorEastAsia"/>
              <w:sz w:val="22"/>
              <w:szCs w:val="22"/>
            </w:rPr>
          </w:pPr>
          <w:hyperlink w:anchor="_Toc392242971" w:history="1">
            <w:r w:rsidR="001A7025" w:rsidRPr="00AB7873">
              <w:rPr>
                <w:rStyle w:val="Hyperlink"/>
              </w:rPr>
              <w:t>Information and Communications</w:t>
            </w:r>
            <w:r w:rsidR="001A7025">
              <w:rPr>
                <w:webHidden/>
              </w:rPr>
              <w:tab/>
            </w:r>
            <w:r w:rsidR="001A7025">
              <w:rPr>
                <w:webHidden/>
              </w:rPr>
              <w:fldChar w:fldCharType="begin"/>
            </w:r>
            <w:r w:rsidR="001A7025">
              <w:rPr>
                <w:webHidden/>
              </w:rPr>
              <w:instrText xml:space="preserve"> PAGEREF _Toc392242971 \h </w:instrText>
            </w:r>
            <w:r w:rsidR="001A7025">
              <w:rPr>
                <w:webHidden/>
              </w:rPr>
            </w:r>
            <w:r w:rsidR="001A7025">
              <w:rPr>
                <w:webHidden/>
              </w:rPr>
              <w:fldChar w:fldCharType="separate"/>
            </w:r>
            <w:r w:rsidR="001A7025">
              <w:rPr>
                <w:webHidden/>
              </w:rPr>
              <w:t>12</w:t>
            </w:r>
            <w:r w:rsidR="001A7025">
              <w:rPr>
                <w:webHidden/>
              </w:rPr>
              <w:fldChar w:fldCharType="end"/>
            </w:r>
          </w:hyperlink>
        </w:p>
        <w:p w14:paraId="3062A874" w14:textId="77777777" w:rsidR="001A7025" w:rsidRDefault="007323FC">
          <w:pPr>
            <w:pStyle w:val="TOC1"/>
            <w:rPr>
              <w:b w:val="0"/>
              <w:sz w:val="22"/>
              <w:szCs w:val="22"/>
            </w:rPr>
          </w:pPr>
          <w:hyperlink w:anchor="_Toc392242972" w:history="1">
            <w:r w:rsidR="001A7025" w:rsidRPr="00AB7873">
              <w:rPr>
                <w:rStyle w:val="Hyperlink"/>
              </w:rPr>
              <w:t>Section 4: Conclusion</w:t>
            </w:r>
            <w:r w:rsidR="001A7025">
              <w:rPr>
                <w:webHidden/>
              </w:rPr>
              <w:tab/>
            </w:r>
            <w:r w:rsidR="001A7025">
              <w:rPr>
                <w:webHidden/>
              </w:rPr>
              <w:fldChar w:fldCharType="begin"/>
            </w:r>
            <w:r w:rsidR="001A7025">
              <w:rPr>
                <w:webHidden/>
              </w:rPr>
              <w:instrText xml:space="preserve"> PAGEREF _Toc392242972 \h </w:instrText>
            </w:r>
            <w:r w:rsidR="001A7025">
              <w:rPr>
                <w:webHidden/>
              </w:rPr>
            </w:r>
            <w:r w:rsidR="001A7025">
              <w:rPr>
                <w:webHidden/>
              </w:rPr>
              <w:fldChar w:fldCharType="separate"/>
            </w:r>
            <w:r w:rsidR="001A7025">
              <w:rPr>
                <w:webHidden/>
              </w:rPr>
              <w:t>13</w:t>
            </w:r>
            <w:r w:rsidR="001A7025">
              <w:rPr>
                <w:webHidden/>
              </w:rPr>
              <w:fldChar w:fldCharType="end"/>
            </w:r>
          </w:hyperlink>
        </w:p>
        <w:p w14:paraId="53E54A6C" w14:textId="77777777" w:rsidR="003432D8" w:rsidRPr="009F0E4B" w:rsidRDefault="003432D8">
          <w:pPr>
            <w:rPr>
              <w:rFonts w:cstheme="minorHAnsi"/>
            </w:rPr>
          </w:pPr>
          <w:r w:rsidRPr="009F0E4B">
            <w:rPr>
              <w:rFonts w:cstheme="minorHAnsi"/>
              <w:b/>
              <w:bCs/>
              <w:noProof/>
            </w:rPr>
            <w:fldChar w:fldCharType="end"/>
          </w:r>
        </w:p>
      </w:sdtContent>
    </w:sdt>
    <w:p w14:paraId="1E64FABC" w14:textId="77777777" w:rsidR="001A258B" w:rsidRDefault="001A258B">
      <w:pPr>
        <w:rPr>
          <w:rFonts w:eastAsiaTheme="majorEastAsia" w:cstheme="minorHAnsi"/>
          <w:b/>
          <w:bCs/>
          <w:color w:val="365F91" w:themeColor="accent1" w:themeShade="BF"/>
          <w:sz w:val="28"/>
          <w:szCs w:val="28"/>
        </w:rPr>
      </w:pPr>
      <w:r>
        <w:rPr>
          <w:rFonts w:cstheme="minorHAnsi"/>
        </w:rPr>
        <w:br w:type="page"/>
      </w:r>
    </w:p>
    <w:p w14:paraId="22F3CE8C" w14:textId="77777777" w:rsidR="00A77653" w:rsidRDefault="00DC1589" w:rsidP="0057695F">
      <w:pPr>
        <w:pStyle w:val="Heading1"/>
        <w:rPr>
          <w:rFonts w:asciiTheme="minorHAnsi" w:hAnsiTheme="minorHAnsi" w:cstheme="minorHAnsi"/>
        </w:rPr>
      </w:pPr>
      <w:bookmarkStart w:id="0" w:name="_Toc392242954"/>
      <w:r>
        <w:rPr>
          <w:rFonts w:asciiTheme="minorHAnsi" w:hAnsiTheme="minorHAnsi" w:cstheme="minorHAnsi"/>
        </w:rPr>
        <w:lastRenderedPageBreak/>
        <w:t>Section One:  Introduction</w:t>
      </w:r>
      <w:bookmarkEnd w:id="0"/>
    </w:p>
    <w:p w14:paraId="7E4798F0" w14:textId="77777777" w:rsidR="00DC1589" w:rsidRPr="00DC1589" w:rsidRDefault="00DC1589" w:rsidP="00DC1589">
      <w:pPr>
        <w:pStyle w:val="Heading2"/>
      </w:pPr>
      <w:bookmarkStart w:id="1" w:name="_Toc392242955"/>
      <w:r>
        <w:t>Background</w:t>
      </w:r>
      <w:bookmarkEnd w:id="1"/>
    </w:p>
    <w:p w14:paraId="1BC3255A" w14:textId="77777777" w:rsidR="00206D88" w:rsidRPr="009F0E4B" w:rsidRDefault="00206D88" w:rsidP="0098750C">
      <w:pPr>
        <w:spacing w:before="100" w:beforeAutospacing="1" w:after="100" w:afterAutospacing="1" w:line="240" w:lineRule="auto"/>
        <w:jc w:val="both"/>
        <w:rPr>
          <w:rFonts w:eastAsia="Times New Roman" w:cstheme="minorHAnsi"/>
          <w:sz w:val="24"/>
          <w:szCs w:val="24"/>
        </w:rPr>
      </w:pPr>
      <w:r w:rsidRPr="009F0E4B">
        <w:rPr>
          <w:rFonts w:eastAsia="Times New Roman" w:cstheme="minorHAnsi"/>
          <w:sz w:val="24"/>
          <w:szCs w:val="24"/>
        </w:rPr>
        <w:t xml:space="preserve">Under the Accessibility for Ontarians with Disabilities Act, 2005 (“AODA”) Queen’s University is considered a </w:t>
      </w:r>
      <w:r w:rsidR="000F169C" w:rsidRPr="009F0E4B">
        <w:rPr>
          <w:rFonts w:eastAsia="Times New Roman" w:cstheme="minorHAnsi"/>
          <w:sz w:val="24"/>
          <w:szCs w:val="24"/>
        </w:rPr>
        <w:t xml:space="preserve">large designated </w:t>
      </w:r>
      <w:r w:rsidRPr="009F0E4B">
        <w:rPr>
          <w:rFonts w:eastAsia="Times New Roman" w:cstheme="minorHAnsi"/>
          <w:sz w:val="24"/>
          <w:szCs w:val="24"/>
        </w:rPr>
        <w:t>public sector organization. As such</w:t>
      </w:r>
      <w:r w:rsidR="003C498D">
        <w:rPr>
          <w:rFonts w:eastAsia="Times New Roman" w:cstheme="minorHAnsi"/>
          <w:sz w:val="24"/>
          <w:szCs w:val="24"/>
        </w:rPr>
        <w:t>,</w:t>
      </w:r>
      <w:r w:rsidRPr="009F0E4B">
        <w:rPr>
          <w:rFonts w:eastAsia="Times New Roman" w:cstheme="minorHAnsi"/>
          <w:sz w:val="24"/>
          <w:szCs w:val="24"/>
        </w:rPr>
        <w:t xml:space="preserve"> </w:t>
      </w:r>
      <w:r w:rsidR="000F169C" w:rsidRPr="009F0E4B">
        <w:rPr>
          <w:rFonts w:eastAsia="Times New Roman" w:cstheme="minorHAnsi"/>
          <w:sz w:val="24"/>
          <w:szCs w:val="24"/>
        </w:rPr>
        <w:t xml:space="preserve">Queen’s </w:t>
      </w:r>
      <w:r w:rsidRPr="009F0E4B">
        <w:rPr>
          <w:rFonts w:eastAsia="Times New Roman" w:cstheme="minorHAnsi"/>
          <w:sz w:val="24"/>
          <w:szCs w:val="24"/>
        </w:rPr>
        <w:t xml:space="preserve">is required to establish, implement, maintain and document a multi- year accessibility plan. </w:t>
      </w:r>
      <w:r w:rsidR="00130FE7" w:rsidRPr="009F0E4B">
        <w:rPr>
          <w:rFonts w:eastAsia="Times New Roman" w:cstheme="minorHAnsi"/>
          <w:sz w:val="24"/>
          <w:szCs w:val="24"/>
        </w:rPr>
        <w:t>Th</w:t>
      </w:r>
      <w:r w:rsidR="003C498D">
        <w:rPr>
          <w:rFonts w:eastAsia="Times New Roman" w:cstheme="minorHAnsi"/>
          <w:sz w:val="24"/>
          <w:szCs w:val="24"/>
        </w:rPr>
        <w:t>at</w:t>
      </w:r>
      <w:r w:rsidR="00130FE7" w:rsidRPr="009F0E4B">
        <w:rPr>
          <w:rFonts w:eastAsia="Times New Roman" w:cstheme="minorHAnsi"/>
          <w:sz w:val="24"/>
          <w:szCs w:val="24"/>
        </w:rPr>
        <w:t xml:space="preserve"> document constitutes Queen’s University’s Accessibility Plan</w:t>
      </w:r>
      <w:r w:rsidR="00EA6AA1" w:rsidRPr="009F0E4B">
        <w:rPr>
          <w:rFonts w:eastAsia="Times New Roman" w:cstheme="minorHAnsi"/>
          <w:sz w:val="24"/>
          <w:szCs w:val="24"/>
        </w:rPr>
        <w:t xml:space="preserve"> (“</w:t>
      </w:r>
      <w:hyperlink r:id="rId15" w:history="1">
        <w:r w:rsidR="00EA6AA1" w:rsidRPr="00296ECC">
          <w:rPr>
            <w:rStyle w:val="Hyperlink"/>
            <w:rFonts w:eastAsia="Times New Roman" w:cstheme="minorHAnsi"/>
            <w:sz w:val="24"/>
            <w:szCs w:val="24"/>
          </w:rPr>
          <w:t>the Plan</w:t>
        </w:r>
      </w:hyperlink>
      <w:r w:rsidR="00EA6AA1" w:rsidRPr="009F0E4B">
        <w:rPr>
          <w:rFonts w:eastAsia="Times New Roman" w:cstheme="minorHAnsi"/>
          <w:sz w:val="24"/>
          <w:szCs w:val="24"/>
        </w:rPr>
        <w:t>”)</w:t>
      </w:r>
      <w:r w:rsidR="00130FE7" w:rsidRPr="009F0E4B">
        <w:rPr>
          <w:rFonts w:eastAsia="Times New Roman" w:cstheme="minorHAnsi"/>
          <w:sz w:val="24"/>
          <w:szCs w:val="24"/>
        </w:rPr>
        <w:t xml:space="preserve"> for the period </w:t>
      </w:r>
      <w:r w:rsidR="009A3A39" w:rsidRPr="009F0E4B">
        <w:rPr>
          <w:rFonts w:eastAsia="Times New Roman" w:cstheme="minorHAnsi"/>
          <w:sz w:val="24"/>
          <w:szCs w:val="24"/>
        </w:rPr>
        <w:t>May</w:t>
      </w:r>
      <w:r w:rsidR="00130FE7" w:rsidRPr="009F0E4B">
        <w:rPr>
          <w:rFonts w:eastAsia="Times New Roman" w:cstheme="minorHAnsi"/>
          <w:sz w:val="24"/>
          <w:szCs w:val="24"/>
        </w:rPr>
        <w:t xml:space="preserve"> 1, 201</w:t>
      </w:r>
      <w:r w:rsidR="009A3A39" w:rsidRPr="009F0E4B">
        <w:rPr>
          <w:rFonts w:eastAsia="Times New Roman" w:cstheme="minorHAnsi"/>
          <w:sz w:val="24"/>
          <w:szCs w:val="24"/>
        </w:rPr>
        <w:t>3</w:t>
      </w:r>
      <w:r w:rsidR="00130FE7" w:rsidRPr="009F0E4B">
        <w:rPr>
          <w:rFonts w:eastAsia="Times New Roman" w:cstheme="minorHAnsi"/>
          <w:sz w:val="24"/>
          <w:szCs w:val="24"/>
        </w:rPr>
        <w:t xml:space="preserve"> to </w:t>
      </w:r>
      <w:r w:rsidR="009A3A39" w:rsidRPr="009F0E4B">
        <w:rPr>
          <w:rFonts w:eastAsia="Times New Roman" w:cstheme="minorHAnsi"/>
          <w:sz w:val="24"/>
          <w:szCs w:val="24"/>
        </w:rPr>
        <w:t>April 30</w:t>
      </w:r>
      <w:r w:rsidR="00130FE7" w:rsidRPr="009F0E4B">
        <w:rPr>
          <w:rFonts w:eastAsia="Times New Roman" w:cstheme="minorHAnsi"/>
          <w:sz w:val="24"/>
          <w:szCs w:val="24"/>
        </w:rPr>
        <w:t xml:space="preserve">, </w:t>
      </w:r>
      <w:r w:rsidR="00024797">
        <w:rPr>
          <w:rFonts w:eastAsia="Times New Roman" w:cstheme="minorHAnsi"/>
          <w:sz w:val="24"/>
          <w:szCs w:val="24"/>
        </w:rPr>
        <w:t>2016</w:t>
      </w:r>
      <w:r w:rsidR="00130FE7" w:rsidRPr="009F0E4B">
        <w:rPr>
          <w:rFonts w:eastAsia="Times New Roman" w:cstheme="minorHAnsi"/>
          <w:sz w:val="24"/>
          <w:szCs w:val="24"/>
        </w:rPr>
        <w:t xml:space="preserve">. </w:t>
      </w:r>
    </w:p>
    <w:p w14:paraId="287CB268" w14:textId="2A2963D8" w:rsidR="000F169C" w:rsidRPr="009F0E4B" w:rsidRDefault="002B72A2" w:rsidP="0098750C">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AODA legislation also requires public sector organizations to prepare an Annual Report (“the Report”) relative to the multi-year accessibility plan. This Report documents the planning and implementation activities undertaken by Queen’s during the fi</w:t>
      </w:r>
      <w:r w:rsidR="00935A40">
        <w:rPr>
          <w:rFonts w:eastAsia="Times New Roman" w:cstheme="minorHAnsi"/>
          <w:sz w:val="24"/>
          <w:szCs w:val="24"/>
        </w:rPr>
        <w:t xml:space="preserve">rst year of the multi-year Plan; from May 1 2013 to April 30 2014. </w:t>
      </w:r>
    </w:p>
    <w:p w14:paraId="52D508E9" w14:textId="77777777" w:rsidR="008D6DC9" w:rsidRPr="00DC1589" w:rsidRDefault="008D6DC9" w:rsidP="00DC1589">
      <w:pPr>
        <w:pStyle w:val="Heading2"/>
        <w:rPr>
          <w:rStyle w:val="Heading1Char"/>
          <w:rFonts w:cstheme="minorHAnsi"/>
          <w:b/>
          <w:bCs/>
          <w:sz w:val="26"/>
          <w:szCs w:val="26"/>
        </w:rPr>
      </w:pPr>
      <w:bookmarkStart w:id="2" w:name="_Toc392242956"/>
      <w:bookmarkStart w:id="3" w:name="_Toc327799008"/>
      <w:bookmarkStart w:id="4" w:name="_Toc327799169"/>
      <w:r w:rsidRPr="00DC1589">
        <w:rPr>
          <w:rStyle w:val="Heading1Char"/>
          <w:rFonts w:cstheme="minorHAnsi"/>
          <w:b/>
          <w:bCs/>
          <w:sz w:val="26"/>
          <w:szCs w:val="26"/>
        </w:rPr>
        <w:t>Vision &amp; Commitment</w:t>
      </w:r>
      <w:bookmarkEnd w:id="2"/>
    </w:p>
    <w:p w14:paraId="51C3B746" w14:textId="77777777" w:rsidR="009A42A5" w:rsidRPr="009F0E4B" w:rsidRDefault="009A42A5" w:rsidP="00C57C00">
      <w:pPr>
        <w:jc w:val="both"/>
        <w:rPr>
          <w:rFonts w:cstheme="minorHAnsi"/>
          <w:sz w:val="24"/>
          <w:szCs w:val="24"/>
        </w:rPr>
      </w:pPr>
      <w:r w:rsidRPr="009F0E4B">
        <w:rPr>
          <w:rFonts w:cstheme="minorHAnsi"/>
          <w:sz w:val="24"/>
          <w:szCs w:val="24"/>
        </w:rPr>
        <w:t>Queen’s vision is to improve opportunities for persons with disabilities and to provide for their involvement in the strategic identification, removal, and prevention of barriers to their full participation. Accessibility planning provides the university with the opportunity to take a comprehensive look at its services, policies, procedures, practices and programs to determine which aspects of its operat</w:t>
      </w:r>
      <w:r w:rsidR="00C57C00" w:rsidRPr="009F0E4B">
        <w:rPr>
          <w:rFonts w:cstheme="minorHAnsi"/>
          <w:sz w:val="24"/>
          <w:szCs w:val="24"/>
        </w:rPr>
        <w:t>ions require action towards advancing accessibility. In order to support progress and meaningful implementation of the Plan, a strong foundation built upon the fo</w:t>
      </w:r>
      <w:r w:rsidR="007A0B65" w:rsidRPr="009F0E4B">
        <w:rPr>
          <w:rFonts w:cstheme="minorHAnsi"/>
          <w:sz w:val="24"/>
          <w:szCs w:val="24"/>
        </w:rPr>
        <w:t>llowing principles is necessary.</w:t>
      </w:r>
    </w:p>
    <w:p w14:paraId="5C5AD018" w14:textId="77777777" w:rsidR="00C57C00" w:rsidRPr="00DC1589" w:rsidRDefault="00C57C00" w:rsidP="0057695F">
      <w:pPr>
        <w:pStyle w:val="Heading2"/>
        <w:rPr>
          <w:rFonts w:cstheme="minorHAnsi"/>
        </w:rPr>
      </w:pPr>
      <w:bookmarkStart w:id="5" w:name="_Toc392242957"/>
      <w:r w:rsidRPr="00DC1589">
        <w:rPr>
          <w:rFonts w:cstheme="minorHAnsi"/>
        </w:rPr>
        <w:t>Informed &amp; Committed Leadership</w:t>
      </w:r>
      <w:bookmarkEnd w:id="5"/>
    </w:p>
    <w:p w14:paraId="22EE167E" w14:textId="77777777" w:rsidR="00247712" w:rsidRPr="009F0E4B" w:rsidRDefault="00247712" w:rsidP="003C14DC">
      <w:pPr>
        <w:pStyle w:val="ListParagraph"/>
        <w:numPr>
          <w:ilvl w:val="0"/>
          <w:numId w:val="2"/>
        </w:numPr>
        <w:rPr>
          <w:rFonts w:cstheme="minorHAnsi"/>
          <w:sz w:val="24"/>
          <w:szCs w:val="24"/>
        </w:rPr>
      </w:pPr>
      <w:r w:rsidRPr="009F0E4B">
        <w:rPr>
          <w:rFonts w:cstheme="minorHAnsi"/>
          <w:sz w:val="24"/>
          <w:szCs w:val="24"/>
        </w:rPr>
        <w:t xml:space="preserve">All Departments </w:t>
      </w:r>
      <w:r w:rsidR="00FC7244">
        <w:rPr>
          <w:rFonts w:cstheme="minorHAnsi"/>
          <w:sz w:val="24"/>
          <w:szCs w:val="24"/>
        </w:rPr>
        <w:t xml:space="preserve">and Units </w:t>
      </w:r>
      <w:r w:rsidRPr="009F0E4B">
        <w:rPr>
          <w:rFonts w:cstheme="minorHAnsi"/>
          <w:sz w:val="24"/>
          <w:szCs w:val="24"/>
        </w:rPr>
        <w:t>are asked to provide input into the Plan</w:t>
      </w:r>
    </w:p>
    <w:p w14:paraId="22E19739" w14:textId="343574D9" w:rsidR="00247712" w:rsidRPr="009F0E4B" w:rsidRDefault="00247712" w:rsidP="003C14DC">
      <w:pPr>
        <w:pStyle w:val="ListParagraph"/>
        <w:numPr>
          <w:ilvl w:val="0"/>
          <w:numId w:val="2"/>
        </w:numPr>
        <w:rPr>
          <w:rFonts w:cstheme="minorHAnsi"/>
          <w:sz w:val="24"/>
          <w:szCs w:val="24"/>
        </w:rPr>
      </w:pPr>
      <w:r w:rsidRPr="009F0E4B">
        <w:rPr>
          <w:rFonts w:cstheme="minorHAnsi"/>
          <w:sz w:val="24"/>
          <w:szCs w:val="24"/>
        </w:rPr>
        <w:t xml:space="preserve">The Vice-Principals’ Operations Committee (VPOC) approves the Plan </w:t>
      </w:r>
      <w:r w:rsidR="002010F3">
        <w:rPr>
          <w:rFonts w:cstheme="minorHAnsi"/>
          <w:sz w:val="24"/>
          <w:szCs w:val="24"/>
        </w:rPr>
        <w:t>and</w:t>
      </w:r>
      <w:r w:rsidRPr="009F0E4B">
        <w:rPr>
          <w:rFonts w:cstheme="minorHAnsi"/>
          <w:sz w:val="24"/>
          <w:szCs w:val="24"/>
        </w:rPr>
        <w:t xml:space="preserve"> receives annual progress reports for information</w:t>
      </w:r>
      <w:r w:rsidR="003C498D">
        <w:rPr>
          <w:rFonts w:cstheme="minorHAnsi"/>
          <w:sz w:val="24"/>
          <w:szCs w:val="24"/>
        </w:rPr>
        <w:t xml:space="preserve"> and comment</w:t>
      </w:r>
    </w:p>
    <w:p w14:paraId="43732911" w14:textId="7B37D8D8" w:rsidR="00247712" w:rsidRPr="009F0E4B" w:rsidRDefault="00247712" w:rsidP="003C14DC">
      <w:pPr>
        <w:pStyle w:val="ListParagraph"/>
        <w:numPr>
          <w:ilvl w:val="0"/>
          <w:numId w:val="2"/>
        </w:numPr>
        <w:rPr>
          <w:rFonts w:cstheme="minorHAnsi"/>
          <w:sz w:val="24"/>
          <w:szCs w:val="24"/>
        </w:rPr>
      </w:pPr>
      <w:r w:rsidRPr="009F0E4B">
        <w:rPr>
          <w:rFonts w:cstheme="minorHAnsi"/>
          <w:sz w:val="24"/>
          <w:szCs w:val="24"/>
        </w:rPr>
        <w:t>Accountability is demonstrated through the Plan and its related accessibility documentation</w:t>
      </w:r>
      <w:r w:rsidR="002010F3">
        <w:rPr>
          <w:rFonts w:cstheme="minorHAnsi"/>
          <w:sz w:val="24"/>
          <w:szCs w:val="24"/>
        </w:rPr>
        <w:t xml:space="preserve"> which</w:t>
      </w:r>
      <w:r w:rsidRPr="009F0E4B">
        <w:rPr>
          <w:rFonts w:cstheme="minorHAnsi"/>
          <w:sz w:val="24"/>
          <w:szCs w:val="24"/>
        </w:rPr>
        <w:t xml:space="preserve"> </w:t>
      </w:r>
      <w:r>
        <w:rPr>
          <w:rFonts w:cstheme="minorHAnsi"/>
          <w:sz w:val="24"/>
          <w:szCs w:val="24"/>
        </w:rPr>
        <w:t>is</w:t>
      </w:r>
      <w:r w:rsidRPr="009F0E4B">
        <w:rPr>
          <w:rFonts w:cstheme="minorHAnsi"/>
          <w:sz w:val="24"/>
          <w:szCs w:val="24"/>
        </w:rPr>
        <w:t xml:space="preserve"> made publicly available and in alternative formats upon request</w:t>
      </w:r>
    </w:p>
    <w:p w14:paraId="33FB5654" w14:textId="77777777" w:rsidR="00247712" w:rsidRPr="009F0E4B" w:rsidRDefault="00247712" w:rsidP="003C14DC">
      <w:pPr>
        <w:pStyle w:val="ListParagraph"/>
        <w:numPr>
          <w:ilvl w:val="0"/>
          <w:numId w:val="2"/>
        </w:numPr>
        <w:rPr>
          <w:rFonts w:cstheme="minorHAnsi"/>
          <w:sz w:val="24"/>
          <w:szCs w:val="24"/>
        </w:rPr>
      </w:pPr>
      <w:r w:rsidRPr="009F0E4B">
        <w:rPr>
          <w:rFonts w:cstheme="minorHAnsi"/>
          <w:sz w:val="24"/>
          <w:szCs w:val="24"/>
        </w:rPr>
        <w:t xml:space="preserve">Mandatory accessibility and human rights training </w:t>
      </w:r>
      <w:r>
        <w:rPr>
          <w:rFonts w:cstheme="minorHAnsi"/>
          <w:sz w:val="24"/>
          <w:szCs w:val="24"/>
        </w:rPr>
        <w:t xml:space="preserve">is offered </w:t>
      </w:r>
      <w:r w:rsidRPr="009F0E4B">
        <w:rPr>
          <w:rFonts w:cstheme="minorHAnsi"/>
          <w:sz w:val="24"/>
          <w:szCs w:val="24"/>
        </w:rPr>
        <w:t>for all staff, faculty, and students acting on behalf of the university</w:t>
      </w:r>
    </w:p>
    <w:p w14:paraId="4C2BB699" w14:textId="77777777" w:rsidR="00247712" w:rsidRPr="009F0E4B" w:rsidRDefault="00247712" w:rsidP="003C14DC">
      <w:pPr>
        <w:pStyle w:val="ListParagraph"/>
        <w:numPr>
          <w:ilvl w:val="0"/>
          <w:numId w:val="2"/>
        </w:numPr>
        <w:rPr>
          <w:rFonts w:cstheme="minorHAnsi"/>
          <w:sz w:val="24"/>
          <w:szCs w:val="24"/>
        </w:rPr>
      </w:pPr>
      <w:r w:rsidRPr="009F0E4B">
        <w:rPr>
          <w:rFonts w:cstheme="minorHAnsi"/>
          <w:sz w:val="24"/>
          <w:szCs w:val="24"/>
        </w:rPr>
        <w:t>Engaged and aware employees incorporate accessibility into daily practices at all levels of the organization and are encouraged to use an inclusionary lens when preparing policy and procedural documents or developing programs and services</w:t>
      </w:r>
    </w:p>
    <w:p w14:paraId="4408DC81" w14:textId="77777777" w:rsidR="00011A7D" w:rsidRDefault="00011A7D">
      <w:pPr>
        <w:rPr>
          <w:rStyle w:val="Heading1Char"/>
          <w:sz w:val="26"/>
          <w:szCs w:val="26"/>
        </w:rPr>
      </w:pPr>
      <w:r>
        <w:rPr>
          <w:rStyle w:val="Heading1Char"/>
          <w:b w:val="0"/>
          <w:bCs w:val="0"/>
          <w:sz w:val="26"/>
          <w:szCs w:val="26"/>
        </w:rPr>
        <w:br w:type="page"/>
      </w:r>
    </w:p>
    <w:p w14:paraId="2300214C" w14:textId="77777777" w:rsidR="00554DD7" w:rsidRPr="00DC1589" w:rsidRDefault="0098750C" w:rsidP="00DC1589">
      <w:pPr>
        <w:pStyle w:val="Heading2"/>
        <w:rPr>
          <w:rStyle w:val="Heading1Char"/>
          <w:b/>
          <w:bCs/>
          <w:sz w:val="26"/>
          <w:szCs w:val="26"/>
        </w:rPr>
      </w:pPr>
      <w:bookmarkStart w:id="6" w:name="_Toc392242958"/>
      <w:r w:rsidRPr="00DC1589">
        <w:rPr>
          <w:rStyle w:val="Heading1Char"/>
          <w:b/>
          <w:bCs/>
          <w:sz w:val="26"/>
          <w:szCs w:val="26"/>
        </w:rPr>
        <w:lastRenderedPageBreak/>
        <w:t xml:space="preserve">Queen’s </w:t>
      </w:r>
      <w:r w:rsidR="00890A9E" w:rsidRPr="00DC1589">
        <w:rPr>
          <w:rStyle w:val="Heading1Char"/>
          <w:b/>
          <w:bCs/>
          <w:sz w:val="26"/>
          <w:szCs w:val="26"/>
        </w:rPr>
        <w:t xml:space="preserve">University Comprehensive Strategic Framework for </w:t>
      </w:r>
      <w:r w:rsidR="003E1AFB" w:rsidRPr="00DC1589">
        <w:rPr>
          <w:rStyle w:val="Heading1Char"/>
          <w:b/>
          <w:bCs/>
          <w:sz w:val="26"/>
          <w:szCs w:val="26"/>
        </w:rPr>
        <w:t>Accessibility</w:t>
      </w:r>
      <w:bookmarkEnd w:id="3"/>
      <w:bookmarkEnd w:id="4"/>
      <w:bookmarkEnd w:id="6"/>
      <w:r w:rsidR="003E1AFB" w:rsidRPr="00DC1589">
        <w:rPr>
          <w:rStyle w:val="Heading1Char"/>
          <w:b/>
          <w:bCs/>
          <w:sz w:val="26"/>
          <w:szCs w:val="26"/>
        </w:rPr>
        <w:t xml:space="preserve"> </w:t>
      </w:r>
    </w:p>
    <w:p w14:paraId="570A31AE" w14:textId="77777777" w:rsidR="007E50D5" w:rsidRPr="009F0E4B" w:rsidRDefault="007E50D5" w:rsidP="007E50D5">
      <w:pPr>
        <w:pStyle w:val="NormalWeb"/>
        <w:spacing w:before="0" w:beforeAutospacing="0" w:after="307" w:afterAutospacing="0"/>
        <w:textAlignment w:val="baseline"/>
        <w:rPr>
          <w:rFonts w:asciiTheme="minorHAnsi" w:hAnsiTheme="minorHAnsi" w:cstheme="minorHAnsi"/>
          <w:color w:val="313335"/>
        </w:rPr>
      </w:pPr>
      <w:bookmarkStart w:id="7" w:name="_Toc327799009"/>
      <w:bookmarkStart w:id="8" w:name="_Toc327799170"/>
      <w:r w:rsidRPr="009F0E4B">
        <w:rPr>
          <w:rFonts w:asciiTheme="minorHAnsi" w:hAnsiTheme="minorHAnsi" w:cstheme="minorHAnsi"/>
          <w:color w:val="313335"/>
        </w:rPr>
        <w:t xml:space="preserve">The </w:t>
      </w:r>
      <w:hyperlink r:id="rId16" w:history="1">
        <w:r w:rsidRPr="009F0E4B">
          <w:rPr>
            <w:rStyle w:val="Hyperlink"/>
            <w:rFonts w:asciiTheme="minorHAnsi" w:hAnsiTheme="minorHAnsi" w:cstheme="minorHAnsi"/>
          </w:rPr>
          <w:t>Comprehensive Strategic Framework for Accessibility</w:t>
        </w:r>
      </w:hyperlink>
      <w:r w:rsidRPr="009F0E4B">
        <w:rPr>
          <w:rFonts w:asciiTheme="minorHAnsi" w:hAnsiTheme="minorHAnsi" w:cstheme="minorHAnsi"/>
          <w:color w:val="313335"/>
        </w:rPr>
        <w:t xml:space="preserve"> </w:t>
      </w:r>
      <w:r w:rsidR="00901EA2" w:rsidRPr="009F0E4B">
        <w:rPr>
          <w:rFonts w:asciiTheme="minorHAnsi" w:hAnsiTheme="minorHAnsi" w:cstheme="minorHAnsi"/>
          <w:color w:val="313335"/>
        </w:rPr>
        <w:t xml:space="preserve">(“Accessibility Framework”) </w:t>
      </w:r>
      <w:r w:rsidR="00CD61F7" w:rsidRPr="009F0E4B">
        <w:rPr>
          <w:rFonts w:asciiTheme="minorHAnsi" w:hAnsiTheme="minorHAnsi" w:cstheme="minorHAnsi"/>
          <w:color w:val="313335"/>
        </w:rPr>
        <w:t>enables the</w:t>
      </w:r>
      <w:r w:rsidRPr="009F0E4B">
        <w:rPr>
          <w:rFonts w:asciiTheme="minorHAnsi" w:hAnsiTheme="minorHAnsi" w:cstheme="minorHAnsi"/>
          <w:color w:val="313335"/>
        </w:rPr>
        <w:t xml:space="preserve"> develop</w:t>
      </w:r>
      <w:r w:rsidR="00CD61F7" w:rsidRPr="009F0E4B">
        <w:rPr>
          <w:rFonts w:asciiTheme="minorHAnsi" w:hAnsiTheme="minorHAnsi" w:cstheme="minorHAnsi"/>
          <w:color w:val="313335"/>
        </w:rPr>
        <w:t>ment</w:t>
      </w:r>
      <w:r w:rsidR="00432612" w:rsidRPr="009F0E4B">
        <w:rPr>
          <w:rFonts w:asciiTheme="minorHAnsi" w:hAnsiTheme="minorHAnsi" w:cstheme="minorHAnsi"/>
          <w:color w:val="313335"/>
        </w:rPr>
        <w:t xml:space="preserve"> and implement</w:t>
      </w:r>
      <w:r w:rsidR="00CD61F7" w:rsidRPr="009F0E4B">
        <w:rPr>
          <w:rFonts w:asciiTheme="minorHAnsi" w:hAnsiTheme="minorHAnsi" w:cstheme="minorHAnsi"/>
          <w:color w:val="313335"/>
        </w:rPr>
        <w:t>ation of</w:t>
      </w:r>
      <w:r w:rsidRPr="009F0E4B">
        <w:rPr>
          <w:rFonts w:asciiTheme="minorHAnsi" w:hAnsiTheme="minorHAnsi" w:cstheme="minorHAnsi"/>
          <w:color w:val="313335"/>
        </w:rPr>
        <w:t xml:space="preserve"> an Accessibility Plan that serves the university in the following ways:</w:t>
      </w:r>
    </w:p>
    <w:p w14:paraId="3D20CE95" w14:textId="77777777" w:rsidR="007E50D5" w:rsidRPr="009F0E4B" w:rsidRDefault="007E50D5" w:rsidP="003C14DC">
      <w:pPr>
        <w:pStyle w:val="ListParagraph"/>
        <w:numPr>
          <w:ilvl w:val="0"/>
          <w:numId w:val="3"/>
        </w:numPr>
        <w:spacing w:after="0" w:line="240" w:lineRule="auto"/>
        <w:textAlignment w:val="baseline"/>
        <w:rPr>
          <w:rFonts w:cstheme="minorHAnsi"/>
          <w:color w:val="313335"/>
          <w:sz w:val="24"/>
          <w:szCs w:val="24"/>
        </w:rPr>
      </w:pPr>
      <w:r w:rsidRPr="009F0E4B">
        <w:rPr>
          <w:rFonts w:cstheme="minorHAnsi"/>
          <w:color w:val="313335"/>
          <w:sz w:val="24"/>
          <w:szCs w:val="24"/>
        </w:rPr>
        <w:t>To develop plans to address accessibility in five priority areas</w:t>
      </w:r>
      <w:r w:rsidR="003C498D">
        <w:rPr>
          <w:rFonts w:cstheme="minorHAnsi"/>
          <w:color w:val="313335"/>
          <w:sz w:val="24"/>
          <w:szCs w:val="24"/>
        </w:rPr>
        <w:t xml:space="preserve"> related to the AODA</w:t>
      </w:r>
    </w:p>
    <w:p w14:paraId="2EA1F2F6" w14:textId="77777777" w:rsidR="007E50D5" w:rsidRPr="009F0E4B" w:rsidRDefault="007E50D5" w:rsidP="003C14DC">
      <w:pPr>
        <w:numPr>
          <w:ilvl w:val="0"/>
          <w:numId w:val="3"/>
        </w:numPr>
        <w:spacing w:after="0" w:line="240" w:lineRule="auto"/>
        <w:textAlignment w:val="baseline"/>
        <w:rPr>
          <w:rFonts w:cstheme="minorHAnsi"/>
          <w:color w:val="313335"/>
          <w:sz w:val="24"/>
          <w:szCs w:val="24"/>
        </w:rPr>
      </w:pPr>
      <w:r w:rsidRPr="009F0E4B">
        <w:rPr>
          <w:rFonts w:cstheme="minorHAnsi"/>
          <w:color w:val="313335"/>
          <w:sz w:val="24"/>
          <w:szCs w:val="24"/>
        </w:rPr>
        <w:t>To establish shared accountability and responsibility for accessibility for persons with disabilities at Queen's, including funding accessibility-related expenses through standard operating budgets and identifying o</w:t>
      </w:r>
      <w:r w:rsidR="00BE2C5C" w:rsidRPr="009F0E4B">
        <w:rPr>
          <w:rFonts w:cstheme="minorHAnsi"/>
          <w:color w:val="313335"/>
          <w:sz w:val="24"/>
          <w:szCs w:val="24"/>
        </w:rPr>
        <w:t>ther sources of revenue streams</w:t>
      </w:r>
    </w:p>
    <w:p w14:paraId="15F29020" w14:textId="77777777" w:rsidR="007E50D5" w:rsidRPr="009F0E4B" w:rsidRDefault="007E50D5" w:rsidP="003C14DC">
      <w:pPr>
        <w:numPr>
          <w:ilvl w:val="0"/>
          <w:numId w:val="3"/>
        </w:numPr>
        <w:spacing w:after="0" w:line="240" w:lineRule="auto"/>
        <w:textAlignment w:val="baseline"/>
        <w:rPr>
          <w:rFonts w:cstheme="minorHAnsi"/>
          <w:color w:val="313335"/>
          <w:sz w:val="24"/>
          <w:szCs w:val="24"/>
        </w:rPr>
      </w:pPr>
      <w:r w:rsidRPr="009F0E4B">
        <w:rPr>
          <w:rFonts w:cstheme="minorHAnsi"/>
          <w:color w:val="313335"/>
          <w:sz w:val="24"/>
          <w:szCs w:val="24"/>
        </w:rPr>
        <w:t>To provide educational opportunities about accessibility to improve understanding of accessibility issues and the university</w:t>
      </w:r>
      <w:r w:rsidR="003C498D">
        <w:rPr>
          <w:rFonts w:cstheme="minorHAnsi"/>
          <w:color w:val="313335"/>
          <w:sz w:val="24"/>
          <w:szCs w:val="24"/>
        </w:rPr>
        <w:t>’s</w:t>
      </w:r>
      <w:r w:rsidRPr="009F0E4B">
        <w:rPr>
          <w:rFonts w:cstheme="minorHAnsi"/>
          <w:color w:val="313335"/>
          <w:sz w:val="24"/>
          <w:szCs w:val="24"/>
        </w:rPr>
        <w:t xml:space="preserve"> obligati</w:t>
      </w:r>
      <w:r w:rsidR="00BE2C5C" w:rsidRPr="009F0E4B">
        <w:rPr>
          <w:rFonts w:cstheme="minorHAnsi"/>
          <w:color w:val="313335"/>
          <w:sz w:val="24"/>
          <w:szCs w:val="24"/>
        </w:rPr>
        <w:t>ons in accessibility compliance</w:t>
      </w:r>
    </w:p>
    <w:p w14:paraId="158FDD6A" w14:textId="77777777" w:rsidR="007E50D5" w:rsidRDefault="007E50D5" w:rsidP="003C14DC">
      <w:pPr>
        <w:numPr>
          <w:ilvl w:val="0"/>
          <w:numId w:val="3"/>
        </w:numPr>
        <w:spacing w:after="0" w:line="240" w:lineRule="auto"/>
        <w:textAlignment w:val="baseline"/>
        <w:rPr>
          <w:rFonts w:cstheme="minorHAnsi"/>
          <w:color w:val="313335"/>
          <w:sz w:val="24"/>
          <w:szCs w:val="24"/>
        </w:rPr>
      </w:pPr>
      <w:r w:rsidRPr="009F0E4B">
        <w:rPr>
          <w:rFonts w:cstheme="minorHAnsi"/>
          <w:color w:val="313335"/>
          <w:sz w:val="24"/>
          <w:szCs w:val="24"/>
        </w:rPr>
        <w:t>To continue efforts to incorporate accessibility issues in u</w:t>
      </w:r>
      <w:r w:rsidR="00BE2C5C" w:rsidRPr="009F0E4B">
        <w:rPr>
          <w:rFonts w:cstheme="minorHAnsi"/>
          <w:color w:val="313335"/>
          <w:sz w:val="24"/>
          <w:szCs w:val="24"/>
        </w:rPr>
        <w:t>niversity diversity initiatives</w:t>
      </w:r>
    </w:p>
    <w:p w14:paraId="4B2DF16A" w14:textId="77777777" w:rsidR="00935A40" w:rsidRDefault="00935A40" w:rsidP="00935A40">
      <w:pPr>
        <w:spacing w:after="0" w:line="240" w:lineRule="auto"/>
        <w:textAlignment w:val="baseline"/>
        <w:rPr>
          <w:rFonts w:cstheme="minorHAnsi"/>
          <w:color w:val="313335"/>
          <w:sz w:val="24"/>
          <w:szCs w:val="24"/>
        </w:rPr>
      </w:pPr>
    </w:p>
    <w:p w14:paraId="5EF6AE92" w14:textId="3DCA0393" w:rsidR="005E250D" w:rsidRDefault="005E250D" w:rsidP="00935A40">
      <w:pPr>
        <w:jc w:val="both"/>
        <w:rPr>
          <w:rFonts w:cstheme="minorHAnsi"/>
          <w:sz w:val="24"/>
          <w:szCs w:val="24"/>
        </w:rPr>
      </w:pPr>
      <w:r>
        <w:rPr>
          <w:rFonts w:cstheme="minorHAnsi"/>
          <w:sz w:val="24"/>
          <w:szCs w:val="24"/>
        </w:rPr>
        <w:t>T</w:t>
      </w:r>
      <w:r w:rsidR="0075283A">
        <w:rPr>
          <w:rFonts w:cstheme="minorHAnsi"/>
          <w:sz w:val="24"/>
          <w:szCs w:val="24"/>
        </w:rPr>
        <w:t>he Accessibility Coordination Team</w:t>
      </w:r>
      <w:r w:rsidR="00935A40" w:rsidRPr="00935A40">
        <w:rPr>
          <w:rFonts w:cstheme="minorHAnsi"/>
          <w:sz w:val="24"/>
          <w:szCs w:val="24"/>
        </w:rPr>
        <w:t xml:space="preserve"> </w:t>
      </w:r>
      <w:r>
        <w:rPr>
          <w:rFonts w:cstheme="minorHAnsi"/>
          <w:sz w:val="24"/>
          <w:szCs w:val="24"/>
        </w:rPr>
        <w:t xml:space="preserve">oversees the implementation of the Accessibility Framework and is responsible for </w:t>
      </w:r>
      <w:r w:rsidR="00935A40" w:rsidRPr="00935A40">
        <w:rPr>
          <w:rFonts w:cstheme="minorHAnsi"/>
          <w:sz w:val="24"/>
          <w:szCs w:val="24"/>
        </w:rPr>
        <w:t>the development of comprehensive and integrated Accessibility Plan</w:t>
      </w:r>
      <w:r>
        <w:rPr>
          <w:rFonts w:cstheme="minorHAnsi"/>
          <w:sz w:val="24"/>
          <w:szCs w:val="24"/>
        </w:rPr>
        <w:t xml:space="preserve">s.  The Accessibility Coordination Team, is </w:t>
      </w:r>
      <w:r w:rsidRPr="00935A40">
        <w:rPr>
          <w:rFonts w:cstheme="minorHAnsi"/>
          <w:sz w:val="24"/>
          <w:szCs w:val="24"/>
        </w:rPr>
        <w:t xml:space="preserve">comprised of the Leads of </w:t>
      </w:r>
      <w:r>
        <w:rPr>
          <w:rFonts w:cstheme="minorHAnsi"/>
          <w:sz w:val="24"/>
          <w:szCs w:val="24"/>
        </w:rPr>
        <w:t xml:space="preserve">the five Working Groups to support harmonized effort between each group. </w:t>
      </w:r>
    </w:p>
    <w:p w14:paraId="74ABD5B9" w14:textId="549AF710" w:rsidR="005E250D" w:rsidRPr="002B72A2" w:rsidRDefault="005E250D" w:rsidP="005E250D">
      <w:pPr>
        <w:jc w:val="both"/>
        <w:rPr>
          <w:rFonts w:cstheme="minorHAnsi"/>
          <w:sz w:val="24"/>
          <w:szCs w:val="24"/>
        </w:rPr>
      </w:pPr>
      <w:r w:rsidRPr="002B72A2">
        <w:rPr>
          <w:rFonts w:cstheme="minorHAnsi"/>
          <w:sz w:val="24"/>
          <w:szCs w:val="24"/>
        </w:rPr>
        <w:t xml:space="preserve">The five Working Groups are comprised of members with direct responsibility and expertise as it pertains to accessibility requirements and identified priorities. Each Group also has a member that self-identifies as living with a disability and holds a particular interest in the Group’s area of focus. </w:t>
      </w:r>
      <w:r>
        <w:rPr>
          <w:rFonts w:cstheme="minorHAnsi"/>
          <w:sz w:val="24"/>
          <w:szCs w:val="24"/>
        </w:rPr>
        <w:t>A list of the Working Groups is included below:</w:t>
      </w:r>
    </w:p>
    <w:p w14:paraId="7F33129D" w14:textId="77777777" w:rsidR="005E250D" w:rsidRPr="002B72A2" w:rsidRDefault="005E250D" w:rsidP="005E250D">
      <w:pPr>
        <w:pStyle w:val="ListParagraph"/>
        <w:numPr>
          <w:ilvl w:val="0"/>
          <w:numId w:val="4"/>
        </w:numPr>
        <w:jc w:val="both"/>
        <w:rPr>
          <w:rFonts w:cstheme="minorHAnsi"/>
          <w:sz w:val="24"/>
          <w:szCs w:val="24"/>
        </w:rPr>
      </w:pPr>
      <w:r w:rsidRPr="002B72A2">
        <w:rPr>
          <w:rFonts w:cstheme="minorHAnsi"/>
          <w:sz w:val="24"/>
          <w:szCs w:val="24"/>
        </w:rPr>
        <w:t>Policy Advisory Working Group</w:t>
      </w:r>
    </w:p>
    <w:p w14:paraId="655E0D57" w14:textId="77777777" w:rsidR="005E250D" w:rsidRPr="002B72A2" w:rsidRDefault="005E250D" w:rsidP="005E250D">
      <w:pPr>
        <w:pStyle w:val="ListParagraph"/>
        <w:numPr>
          <w:ilvl w:val="0"/>
          <w:numId w:val="4"/>
        </w:numPr>
        <w:jc w:val="both"/>
        <w:rPr>
          <w:rFonts w:cstheme="minorHAnsi"/>
          <w:sz w:val="24"/>
          <w:szCs w:val="24"/>
        </w:rPr>
      </w:pPr>
      <w:r w:rsidRPr="002B72A2">
        <w:rPr>
          <w:sz w:val="24"/>
          <w:szCs w:val="24"/>
        </w:rPr>
        <w:t>Information and Communications Working Group</w:t>
      </w:r>
      <w:hyperlink r:id="rId17" w:history="1"/>
    </w:p>
    <w:p w14:paraId="6432A9A1" w14:textId="77777777" w:rsidR="005E250D" w:rsidRPr="002B72A2" w:rsidRDefault="005E250D" w:rsidP="005E250D">
      <w:pPr>
        <w:pStyle w:val="ListParagraph"/>
        <w:numPr>
          <w:ilvl w:val="0"/>
          <w:numId w:val="4"/>
        </w:numPr>
        <w:jc w:val="both"/>
        <w:rPr>
          <w:rFonts w:cstheme="minorHAnsi"/>
          <w:sz w:val="24"/>
          <w:szCs w:val="24"/>
        </w:rPr>
      </w:pPr>
      <w:r w:rsidRPr="002B72A2">
        <w:rPr>
          <w:sz w:val="24"/>
          <w:szCs w:val="24"/>
        </w:rPr>
        <w:t>Employment Working Group</w:t>
      </w:r>
      <w:hyperlink r:id="rId18" w:history="1"/>
    </w:p>
    <w:p w14:paraId="06A27C54" w14:textId="77777777" w:rsidR="005E250D" w:rsidRPr="002B72A2" w:rsidRDefault="005E250D" w:rsidP="005E250D">
      <w:pPr>
        <w:pStyle w:val="ListParagraph"/>
        <w:numPr>
          <w:ilvl w:val="0"/>
          <w:numId w:val="4"/>
        </w:numPr>
        <w:jc w:val="both"/>
        <w:rPr>
          <w:rFonts w:cstheme="minorHAnsi"/>
          <w:sz w:val="24"/>
          <w:szCs w:val="24"/>
        </w:rPr>
      </w:pPr>
      <w:r w:rsidRPr="002B72A2">
        <w:rPr>
          <w:sz w:val="24"/>
          <w:szCs w:val="24"/>
        </w:rPr>
        <w:t>Built Environment Working Group</w:t>
      </w:r>
      <w:hyperlink r:id="rId19" w:history="1"/>
    </w:p>
    <w:p w14:paraId="22885924" w14:textId="77777777" w:rsidR="005E250D" w:rsidRPr="002B72A2" w:rsidRDefault="005E250D" w:rsidP="005E250D">
      <w:pPr>
        <w:pStyle w:val="ListParagraph"/>
        <w:numPr>
          <w:ilvl w:val="0"/>
          <w:numId w:val="4"/>
        </w:numPr>
        <w:jc w:val="both"/>
        <w:rPr>
          <w:rFonts w:cstheme="minorHAnsi"/>
          <w:sz w:val="24"/>
          <w:szCs w:val="24"/>
        </w:rPr>
      </w:pPr>
      <w:r w:rsidRPr="002B72A2">
        <w:rPr>
          <w:sz w:val="24"/>
          <w:szCs w:val="24"/>
        </w:rPr>
        <w:t>Education, Training, and Awareness Working Group</w:t>
      </w:r>
      <w:hyperlink r:id="rId20" w:history="1"/>
    </w:p>
    <w:p w14:paraId="2458E7D9" w14:textId="77777777" w:rsidR="005E250D" w:rsidRDefault="005E250D" w:rsidP="00935A40">
      <w:pPr>
        <w:jc w:val="both"/>
        <w:rPr>
          <w:rFonts w:cstheme="minorHAnsi"/>
          <w:sz w:val="24"/>
          <w:szCs w:val="24"/>
        </w:rPr>
      </w:pPr>
    </w:p>
    <w:p w14:paraId="46BE2709" w14:textId="4C47E800" w:rsidR="00BF6BE7" w:rsidRDefault="00935A40" w:rsidP="00935A40">
      <w:pPr>
        <w:jc w:val="both"/>
        <w:rPr>
          <w:rFonts w:cstheme="minorHAnsi"/>
          <w:sz w:val="24"/>
          <w:szCs w:val="24"/>
        </w:rPr>
      </w:pPr>
      <w:r w:rsidRPr="00935A40">
        <w:rPr>
          <w:rFonts w:cstheme="minorHAnsi"/>
          <w:sz w:val="24"/>
          <w:szCs w:val="24"/>
        </w:rPr>
        <w:t xml:space="preserve">The </w:t>
      </w:r>
      <w:r w:rsidR="0075283A">
        <w:rPr>
          <w:rFonts w:cstheme="minorHAnsi"/>
          <w:sz w:val="24"/>
          <w:szCs w:val="24"/>
        </w:rPr>
        <w:t>Operational Review Committee</w:t>
      </w:r>
      <w:r w:rsidR="00BF6BE7">
        <w:rPr>
          <w:rFonts w:cstheme="minorHAnsi"/>
          <w:sz w:val="24"/>
          <w:szCs w:val="24"/>
        </w:rPr>
        <w:t xml:space="preserve">, a senior management committee </w:t>
      </w:r>
      <w:hyperlink r:id="rId21" w:history="1"/>
      <w:r w:rsidRPr="00935A40">
        <w:rPr>
          <w:rFonts w:cstheme="minorHAnsi"/>
          <w:sz w:val="24"/>
          <w:szCs w:val="24"/>
        </w:rPr>
        <w:t xml:space="preserve"> reviews all accessibility initiatives at the request of the Vice-Principals’ Operations Committee, thus ensuring institutional-wide considerations are discussed. Ultimate approval of Accessibility Plans and initiatives rests with the Vice-Principals’ Operations Group (VPOC).</w:t>
      </w:r>
    </w:p>
    <w:p w14:paraId="6A2B21E9" w14:textId="77777777" w:rsidR="00011A7D" w:rsidRDefault="00011A7D">
      <w:pPr>
        <w:rPr>
          <w:rFonts w:cstheme="minorHAnsi"/>
          <w:b/>
          <w:sz w:val="24"/>
          <w:szCs w:val="24"/>
        </w:rPr>
      </w:pPr>
      <w:r>
        <w:rPr>
          <w:rFonts w:cstheme="minorHAnsi"/>
          <w:b/>
          <w:sz w:val="24"/>
          <w:szCs w:val="24"/>
        </w:rPr>
        <w:br w:type="page"/>
      </w:r>
    </w:p>
    <w:p w14:paraId="13C0D87D" w14:textId="77777777" w:rsidR="00935A40" w:rsidRDefault="00935A40" w:rsidP="00935A40">
      <w:pPr>
        <w:spacing w:after="0" w:line="240" w:lineRule="auto"/>
        <w:jc w:val="both"/>
        <w:rPr>
          <w:rFonts w:cstheme="minorHAnsi"/>
          <w:sz w:val="24"/>
          <w:szCs w:val="24"/>
        </w:rPr>
      </w:pPr>
      <w:r w:rsidRPr="00935A40">
        <w:rPr>
          <w:rFonts w:cstheme="minorHAnsi"/>
          <w:b/>
          <w:sz w:val="24"/>
          <w:szCs w:val="24"/>
        </w:rPr>
        <w:lastRenderedPageBreak/>
        <w:t>Figure 1</w:t>
      </w:r>
      <w:r>
        <w:rPr>
          <w:rFonts w:cstheme="minorHAnsi"/>
          <w:sz w:val="24"/>
          <w:szCs w:val="24"/>
        </w:rPr>
        <w:t xml:space="preserve"> Reporting Structure of the Framework for Accessibility</w:t>
      </w:r>
    </w:p>
    <w:p w14:paraId="683DFC03" w14:textId="77777777" w:rsidR="00935A40" w:rsidRPr="009F0E4B" w:rsidRDefault="00935A40" w:rsidP="00935A40">
      <w:pPr>
        <w:spacing w:after="0" w:line="240" w:lineRule="auto"/>
        <w:textAlignment w:val="baseline"/>
        <w:rPr>
          <w:rFonts w:cstheme="minorHAnsi"/>
          <w:color w:val="313335"/>
          <w:sz w:val="24"/>
          <w:szCs w:val="24"/>
        </w:rPr>
      </w:pPr>
    </w:p>
    <w:bookmarkEnd w:id="7"/>
    <w:bookmarkEnd w:id="8"/>
    <w:p w14:paraId="2CF9FFAB" w14:textId="77777777" w:rsidR="00092444" w:rsidRDefault="00D45068" w:rsidP="0075283A">
      <w:pPr>
        <w:jc w:val="center"/>
        <w:rPr>
          <w:rFonts w:cstheme="minorHAnsi"/>
          <w:sz w:val="24"/>
          <w:szCs w:val="24"/>
        </w:rPr>
      </w:pPr>
      <w:r>
        <w:rPr>
          <w:noProof/>
        </w:rPr>
        <w:drawing>
          <wp:inline distT="0" distB="0" distL="0" distR="0" wp14:anchorId="1B7F1827" wp14:editId="75CE5F4A">
            <wp:extent cx="5257800" cy="2629120"/>
            <wp:effectExtent l="0" t="0" r="0" b="0"/>
            <wp:docPr id="1" name="Picture 1" title="Reporting Structure of Accessibility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CA7F.E713446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5395510" cy="2697981"/>
                    </a:xfrm>
                    <a:prstGeom prst="rect">
                      <a:avLst/>
                    </a:prstGeom>
                    <a:noFill/>
                    <a:ln>
                      <a:noFill/>
                    </a:ln>
                  </pic:spPr>
                </pic:pic>
              </a:graphicData>
            </a:graphic>
          </wp:inline>
        </w:drawing>
      </w:r>
    </w:p>
    <w:p w14:paraId="0DD21146" w14:textId="77777777" w:rsidR="0075283A" w:rsidRDefault="0075283A" w:rsidP="00935A40">
      <w:pPr>
        <w:pStyle w:val="Heading2"/>
      </w:pPr>
    </w:p>
    <w:p w14:paraId="4EED6F37" w14:textId="77777777" w:rsidR="00935A40" w:rsidRDefault="00935A40" w:rsidP="00935A40">
      <w:pPr>
        <w:pStyle w:val="Heading2"/>
      </w:pPr>
      <w:bookmarkStart w:id="9" w:name="_Toc392242959"/>
      <w:r>
        <w:t>Queen’s Strategic Roadmap</w:t>
      </w:r>
      <w:bookmarkEnd w:id="9"/>
    </w:p>
    <w:p w14:paraId="05D06115" w14:textId="075D46D2" w:rsidR="00935A40" w:rsidRPr="00CA4840" w:rsidRDefault="00935A40" w:rsidP="00935A40">
      <w:pPr>
        <w:jc w:val="both"/>
        <w:rPr>
          <w:sz w:val="24"/>
          <w:szCs w:val="24"/>
        </w:rPr>
      </w:pPr>
      <w:r w:rsidRPr="00CA4840">
        <w:rPr>
          <w:sz w:val="24"/>
          <w:szCs w:val="24"/>
        </w:rPr>
        <w:t xml:space="preserve">Organizational change is complex and involves many components:  policies, procedures, practices; people; technology; infrastructure; communications and awareness. Taken together, these are the levers that will bring about change. The Queen’s Strategic Road Map </w:t>
      </w:r>
      <w:r w:rsidR="00F44444">
        <w:rPr>
          <w:sz w:val="24"/>
          <w:szCs w:val="24"/>
        </w:rPr>
        <w:t xml:space="preserve">for Accessibility below </w:t>
      </w:r>
      <w:r w:rsidRPr="00CA4840">
        <w:rPr>
          <w:sz w:val="24"/>
          <w:szCs w:val="24"/>
        </w:rPr>
        <w:t>provides an overall view of the approach to and management of organizational change</w:t>
      </w:r>
      <w:r w:rsidR="00F44444">
        <w:rPr>
          <w:sz w:val="24"/>
          <w:szCs w:val="24"/>
        </w:rPr>
        <w:t xml:space="preserve"> to foster an accessible environment at Queen’s</w:t>
      </w:r>
      <w:r w:rsidRPr="00CA4840">
        <w:rPr>
          <w:sz w:val="24"/>
          <w:szCs w:val="24"/>
        </w:rPr>
        <w:t xml:space="preserve">. </w:t>
      </w:r>
    </w:p>
    <w:p w14:paraId="26291CC6" w14:textId="160398AC" w:rsidR="004F41D7" w:rsidRDefault="00935A40" w:rsidP="00935A40">
      <w:pPr>
        <w:rPr>
          <w:sz w:val="24"/>
          <w:szCs w:val="24"/>
        </w:rPr>
      </w:pPr>
      <w:r w:rsidRPr="00C66CE1">
        <w:rPr>
          <w:sz w:val="24"/>
          <w:szCs w:val="24"/>
        </w:rPr>
        <w:t>The university recognizes that successful learning and employment outcomes are the result of a shared responsibility and commitment on the part of students, faculty and staff, and expects that all members of the community will advance and contribute to the ongoing development of an environment that is accessible and inclusive, while actively working to identify, remove and prevent barriers to persons with disabilities.</w:t>
      </w:r>
    </w:p>
    <w:p w14:paraId="1241AFF9" w14:textId="77777777" w:rsidR="00D60C99" w:rsidRDefault="00D60C99" w:rsidP="00A72704">
      <w:pPr>
        <w:sectPr w:rsidR="00D60C99" w:rsidSect="00011A7D">
          <w:footerReference w:type="default" r:id="rId24"/>
          <w:pgSz w:w="12240" w:h="15840"/>
          <w:pgMar w:top="1440" w:right="1440" w:bottom="1440" w:left="1440" w:header="708" w:footer="708" w:gutter="0"/>
          <w:pgNumType w:start="1"/>
          <w:cols w:space="708"/>
          <w:docGrid w:linePitch="360"/>
        </w:sectPr>
      </w:pPr>
    </w:p>
    <w:tbl>
      <w:tblPr>
        <w:tblStyle w:val="TableGrid"/>
        <w:tblpPr w:leftFromText="180" w:rightFromText="180" w:horzAnchor="margin" w:tblpXSpec="right" w:tblpY="-810"/>
        <w:tblW w:w="14688" w:type="dxa"/>
        <w:tblLayout w:type="fixed"/>
        <w:tblLook w:val="04A0" w:firstRow="1" w:lastRow="0" w:firstColumn="1" w:lastColumn="0" w:noHBand="0" w:noVBand="1"/>
        <w:tblCaption w:val="Queen's Strategic Road Map"/>
        <w:tblDescription w:val="The Queen's Strategic Road Map provides an overall view of the approach to and management of organizational change as it pertains to accessibility"/>
      </w:tblPr>
      <w:tblGrid>
        <w:gridCol w:w="828"/>
        <w:gridCol w:w="540"/>
        <w:gridCol w:w="1890"/>
        <w:gridCol w:w="1980"/>
        <w:gridCol w:w="2160"/>
        <w:gridCol w:w="1260"/>
        <w:gridCol w:w="990"/>
        <w:gridCol w:w="1914"/>
        <w:gridCol w:w="3126"/>
      </w:tblGrid>
      <w:tr w:rsidR="00D60C99" w14:paraId="6A8B628B" w14:textId="77777777" w:rsidTr="002C7C03">
        <w:trPr>
          <w:tblHeader/>
        </w:trPr>
        <w:tc>
          <w:tcPr>
            <w:tcW w:w="828" w:type="dxa"/>
            <w:vMerge w:val="restart"/>
            <w:tcBorders>
              <w:top w:val="nil"/>
              <w:left w:val="nil"/>
              <w:bottom w:val="nil"/>
              <w:right w:val="nil"/>
            </w:tcBorders>
            <w:textDirection w:val="btLr"/>
          </w:tcPr>
          <w:p w14:paraId="7D08A757" w14:textId="77777777" w:rsidR="00D60C99" w:rsidRPr="002F7FA5" w:rsidRDefault="00D60C99" w:rsidP="00D60C99">
            <w:pPr>
              <w:ind w:left="113" w:right="113"/>
              <w:rPr>
                <w:b/>
                <w:sz w:val="32"/>
                <w:szCs w:val="32"/>
              </w:rPr>
            </w:pPr>
            <w:r w:rsidRPr="002F7FA5">
              <w:rPr>
                <w:b/>
                <w:sz w:val="32"/>
                <w:szCs w:val="32"/>
              </w:rPr>
              <w:t>TRANSFORMATIONAL STRATEGY</w:t>
            </w:r>
          </w:p>
        </w:tc>
        <w:tc>
          <w:tcPr>
            <w:tcW w:w="540" w:type="dxa"/>
            <w:vMerge w:val="restart"/>
            <w:tcBorders>
              <w:top w:val="nil"/>
              <w:left w:val="nil"/>
              <w:right w:val="nil"/>
            </w:tcBorders>
            <w:textDirection w:val="btLr"/>
          </w:tcPr>
          <w:p w14:paraId="5008A42C" w14:textId="77777777" w:rsidR="00D60C99" w:rsidRPr="002F7FA5" w:rsidRDefault="00D60C99" w:rsidP="00D60C99">
            <w:pPr>
              <w:ind w:left="113" w:right="113"/>
              <w:rPr>
                <w:b/>
                <w:sz w:val="32"/>
                <w:szCs w:val="32"/>
              </w:rPr>
            </w:pPr>
            <w:r w:rsidRPr="002F7FA5">
              <w:rPr>
                <w:b/>
                <w:sz w:val="32"/>
                <w:szCs w:val="32"/>
              </w:rPr>
              <w:t>STRATEGY OUTCOMES</w:t>
            </w:r>
          </w:p>
        </w:tc>
        <w:tc>
          <w:tcPr>
            <w:tcW w:w="13320" w:type="dxa"/>
            <w:gridSpan w:val="7"/>
            <w:tcBorders>
              <w:top w:val="nil"/>
              <w:left w:val="nil"/>
              <w:right w:val="nil"/>
            </w:tcBorders>
          </w:tcPr>
          <w:p w14:paraId="768F17A7" w14:textId="77777777" w:rsidR="00D60C99" w:rsidRPr="002F7FA5" w:rsidRDefault="00D60C99" w:rsidP="00D60C99">
            <w:pPr>
              <w:rPr>
                <w:b/>
                <w:sz w:val="40"/>
                <w:szCs w:val="40"/>
              </w:rPr>
            </w:pPr>
            <w:r w:rsidRPr="002F7FA5">
              <w:rPr>
                <w:b/>
                <w:sz w:val="40"/>
                <w:szCs w:val="40"/>
              </w:rPr>
              <w:t>Queen’s Strategic Road  Map</w:t>
            </w:r>
            <w:r w:rsidR="001A7025">
              <w:rPr>
                <w:b/>
                <w:sz w:val="40"/>
                <w:szCs w:val="40"/>
              </w:rPr>
              <w:t xml:space="preserve"> for Accessibility</w:t>
            </w:r>
            <w:r w:rsidRPr="002F7FA5">
              <w:rPr>
                <w:b/>
                <w:sz w:val="40"/>
                <w:szCs w:val="40"/>
              </w:rPr>
              <w:t>*</w:t>
            </w:r>
          </w:p>
        </w:tc>
      </w:tr>
      <w:tr w:rsidR="00D60C99" w14:paraId="0E9795C9" w14:textId="77777777" w:rsidTr="002C7C03">
        <w:trPr>
          <w:tblHeader/>
        </w:trPr>
        <w:tc>
          <w:tcPr>
            <w:tcW w:w="828" w:type="dxa"/>
            <w:vMerge/>
            <w:tcBorders>
              <w:left w:val="nil"/>
              <w:bottom w:val="nil"/>
              <w:right w:val="nil"/>
            </w:tcBorders>
          </w:tcPr>
          <w:p w14:paraId="00505886" w14:textId="77777777" w:rsidR="00D60C99" w:rsidRPr="002F7FA5" w:rsidRDefault="00D60C99" w:rsidP="00D60C99">
            <w:pPr>
              <w:rPr>
                <w:b/>
                <w:sz w:val="32"/>
                <w:szCs w:val="32"/>
              </w:rPr>
            </w:pPr>
          </w:p>
        </w:tc>
        <w:tc>
          <w:tcPr>
            <w:tcW w:w="540" w:type="dxa"/>
            <w:vMerge/>
            <w:tcBorders>
              <w:left w:val="nil"/>
            </w:tcBorders>
          </w:tcPr>
          <w:p w14:paraId="2560C0FB" w14:textId="77777777" w:rsidR="00D60C99" w:rsidRPr="002F7FA5" w:rsidRDefault="00D60C99" w:rsidP="00D60C99">
            <w:pPr>
              <w:rPr>
                <w:b/>
                <w:sz w:val="32"/>
                <w:szCs w:val="32"/>
              </w:rPr>
            </w:pPr>
          </w:p>
        </w:tc>
        <w:tc>
          <w:tcPr>
            <w:tcW w:w="1890" w:type="dxa"/>
            <w:shd w:val="clear" w:color="auto" w:fill="4F81BD" w:themeFill="accent1"/>
          </w:tcPr>
          <w:p w14:paraId="0BD82EC9" w14:textId="77777777" w:rsidR="00D60C99" w:rsidRPr="002F7FA5" w:rsidRDefault="00D60C99" w:rsidP="00D60C99">
            <w:pPr>
              <w:rPr>
                <w:b/>
                <w:sz w:val="32"/>
                <w:szCs w:val="32"/>
              </w:rPr>
            </w:pPr>
            <w:r w:rsidRPr="002F7FA5">
              <w:rPr>
                <w:b/>
                <w:sz w:val="32"/>
                <w:szCs w:val="32"/>
              </w:rPr>
              <w:t>Vision</w:t>
            </w:r>
          </w:p>
        </w:tc>
        <w:tc>
          <w:tcPr>
            <w:tcW w:w="11430" w:type="dxa"/>
            <w:gridSpan w:val="6"/>
            <w:shd w:val="clear" w:color="auto" w:fill="4F81BD" w:themeFill="accent1"/>
          </w:tcPr>
          <w:p w14:paraId="7F878F76" w14:textId="77777777" w:rsidR="00D60C99" w:rsidRPr="00510098" w:rsidRDefault="00D60C99" w:rsidP="00D60C99">
            <w:pPr>
              <w:rPr>
                <w:sz w:val="28"/>
                <w:szCs w:val="28"/>
              </w:rPr>
            </w:pPr>
            <w:r w:rsidRPr="00510098">
              <w:rPr>
                <w:sz w:val="28"/>
                <w:szCs w:val="28"/>
              </w:rPr>
              <w:t>An Accessible Queen’s University</w:t>
            </w:r>
          </w:p>
        </w:tc>
      </w:tr>
      <w:tr w:rsidR="00D60C99" w14:paraId="6811B713" w14:textId="77777777" w:rsidTr="002C7C03">
        <w:trPr>
          <w:tblHeader/>
        </w:trPr>
        <w:tc>
          <w:tcPr>
            <w:tcW w:w="828" w:type="dxa"/>
            <w:vMerge/>
            <w:tcBorders>
              <w:left w:val="nil"/>
              <w:bottom w:val="nil"/>
              <w:right w:val="nil"/>
            </w:tcBorders>
          </w:tcPr>
          <w:p w14:paraId="6859F37E" w14:textId="77777777" w:rsidR="00D60C99" w:rsidRPr="002F7FA5" w:rsidRDefault="00D60C99" w:rsidP="00D60C99">
            <w:pPr>
              <w:rPr>
                <w:b/>
                <w:sz w:val="32"/>
                <w:szCs w:val="32"/>
              </w:rPr>
            </w:pPr>
          </w:p>
        </w:tc>
        <w:tc>
          <w:tcPr>
            <w:tcW w:w="540" w:type="dxa"/>
            <w:vMerge/>
            <w:tcBorders>
              <w:left w:val="nil"/>
              <w:bottom w:val="nil"/>
            </w:tcBorders>
          </w:tcPr>
          <w:p w14:paraId="5DDF20CF" w14:textId="77777777" w:rsidR="00D60C99" w:rsidRPr="002F7FA5" w:rsidRDefault="00D60C99" w:rsidP="00D60C99">
            <w:pPr>
              <w:rPr>
                <w:b/>
                <w:sz w:val="32"/>
                <w:szCs w:val="32"/>
              </w:rPr>
            </w:pPr>
          </w:p>
        </w:tc>
        <w:tc>
          <w:tcPr>
            <w:tcW w:w="1890" w:type="dxa"/>
            <w:shd w:val="clear" w:color="auto" w:fill="95B3D7" w:themeFill="accent1" w:themeFillTint="99"/>
          </w:tcPr>
          <w:p w14:paraId="53FA7E96" w14:textId="77777777" w:rsidR="00D60C99" w:rsidRPr="002F7FA5" w:rsidRDefault="00D60C99" w:rsidP="00D60C99">
            <w:pPr>
              <w:rPr>
                <w:b/>
                <w:sz w:val="32"/>
                <w:szCs w:val="32"/>
              </w:rPr>
            </w:pPr>
            <w:r w:rsidRPr="002F7FA5">
              <w:rPr>
                <w:b/>
                <w:sz w:val="32"/>
                <w:szCs w:val="32"/>
              </w:rPr>
              <w:t>Key Outcomes</w:t>
            </w:r>
          </w:p>
        </w:tc>
        <w:tc>
          <w:tcPr>
            <w:tcW w:w="5400" w:type="dxa"/>
            <w:gridSpan w:val="3"/>
            <w:tcBorders>
              <w:right w:val="nil"/>
            </w:tcBorders>
            <w:shd w:val="clear" w:color="auto" w:fill="95B3D7" w:themeFill="accent1" w:themeFillTint="99"/>
          </w:tcPr>
          <w:p w14:paraId="4BD73515" w14:textId="77777777" w:rsidR="00D60C99" w:rsidRPr="00D60C99" w:rsidRDefault="00D60C99" w:rsidP="003C14DC">
            <w:pPr>
              <w:pStyle w:val="ListParagraph"/>
              <w:numPr>
                <w:ilvl w:val="0"/>
                <w:numId w:val="7"/>
              </w:numPr>
            </w:pPr>
            <w:r w:rsidRPr="00D60C99">
              <w:rPr>
                <w:rFonts w:cstheme="minorHAnsi"/>
              </w:rPr>
              <w:t xml:space="preserve">Meaningful consultation with persons with disabilities in formulating solutions and implementing decisions </w:t>
            </w:r>
          </w:p>
          <w:p w14:paraId="1A1C3262" w14:textId="77777777" w:rsidR="00D60C99" w:rsidRPr="00D60C99" w:rsidRDefault="00D60C99" w:rsidP="003C14DC">
            <w:pPr>
              <w:pStyle w:val="ListParagraph"/>
              <w:numPr>
                <w:ilvl w:val="0"/>
                <w:numId w:val="7"/>
              </w:numPr>
            </w:pPr>
            <w:r w:rsidRPr="00D60C99">
              <w:rPr>
                <w:rFonts w:cstheme="minorHAnsi"/>
              </w:rPr>
              <w:t>Persons with disabilities who are Queen’s customers receive quality goods and services in a timely manner</w:t>
            </w:r>
          </w:p>
          <w:p w14:paraId="46C5A594" w14:textId="77777777" w:rsidR="00D60C99" w:rsidRPr="00D60C99" w:rsidRDefault="00D60C99" w:rsidP="003C14DC">
            <w:pPr>
              <w:pStyle w:val="ListParagraph"/>
              <w:numPr>
                <w:ilvl w:val="0"/>
                <w:numId w:val="7"/>
              </w:numPr>
            </w:pPr>
            <w:r w:rsidRPr="00D60C99">
              <w:rPr>
                <w:rFonts w:cstheme="minorHAnsi"/>
              </w:rPr>
              <w:t>Persons with disabilities who are Queen’s employees participate fully and meaningfully in services and employment</w:t>
            </w:r>
          </w:p>
          <w:p w14:paraId="276DFFA6" w14:textId="77777777" w:rsidR="00D60C99" w:rsidRPr="00D60C99" w:rsidRDefault="00D60C99" w:rsidP="00D60C99"/>
        </w:tc>
        <w:tc>
          <w:tcPr>
            <w:tcW w:w="6030" w:type="dxa"/>
            <w:gridSpan w:val="3"/>
            <w:tcBorders>
              <w:left w:val="nil"/>
            </w:tcBorders>
            <w:shd w:val="clear" w:color="auto" w:fill="95B3D7" w:themeFill="accent1" w:themeFillTint="99"/>
          </w:tcPr>
          <w:p w14:paraId="41F557D3" w14:textId="77777777" w:rsidR="00D60C99" w:rsidRPr="00D60C99" w:rsidRDefault="00D60C99" w:rsidP="003C14DC">
            <w:pPr>
              <w:pStyle w:val="ListParagraph"/>
              <w:numPr>
                <w:ilvl w:val="0"/>
                <w:numId w:val="7"/>
              </w:numPr>
            </w:pPr>
            <w:r w:rsidRPr="00D60C99">
              <w:t>Information and communications are available in accessible formats to all Queen’s employees and customers</w:t>
            </w:r>
          </w:p>
          <w:p w14:paraId="7C370F4B" w14:textId="77777777" w:rsidR="00D60C99" w:rsidRPr="00D60C99" w:rsidRDefault="00D60C99" w:rsidP="003C14DC">
            <w:pPr>
              <w:pStyle w:val="ListParagraph"/>
              <w:numPr>
                <w:ilvl w:val="0"/>
                <w:numId w:val="7"/>
              </w:numPr>
            </w:pPr>
            <w:r w:rsidRPr="00D60C99">
              <w:t>Queen’s employees are able to identify barriers to accessibility and actively seek solutions to prevent or remove them on a continuing basis throughout the organization</w:t>
            </w:r>
          </w:p>
          <w:p w14:paraId="6752A1AF" w14:textId="77777777" w:rsidR="00D60C99" w:rsidRPr="00D60C99" w:rsidRDefault="00D60C99" w:rsidP="003C14DC">
            <w:pPr>
              <w:pStyle w:val="ListParagraph"/>
              <w:numPr>
                <w:ilvl w:val="0"/>
                <w:numId w:val="7"/>
              </w:numPr>
            </w:pPr>
            <w:r w:rsidRPr="00D60C99">
              <w:t>There is greater accessibility into, out of, and around Queen’s facilities and public spaces</w:t>
            </w:r>
          </w:p>
        </w:tc>
      </w:tr>
      <w:tr w:rsidR="00D60C99" w14:paraId="5186EDBF" w14:textId="77777777" w:rsidTr="002C7C03">
        <w:trPr>
          <w:tblHeader/>
        </w:trPr>
        <w:tc>
          <w:tcPr>
            <w:tcW w:w="828" w:type="dxa"/>
            <w:vMerge/>
            <w:tcBorders>
              <w:left w:val="nil"/>
              <w:bottom w:val="nil"/>
              <w:right w:val="nil"/>
            </w:tcBorders>
          </w:tcPr>
          <w:p w14:paraId="0AA94173" w14:textId="77777777" w:rsidR="00D60C99" w:rsidRPr="002F7FA5" w:rsidRDefault="00D60C99" w:rsidP="00D60C99">
            <w:pPr>
              <w:rPr>
                <w:b/>
                <w:sz w:val="32"/>
                <w:szCs w:val="32"/>
              </w:rPr>
            </w:pPr>
          </w:p>
        </w:tc>
        <w:tc>
          <w:tcPr>
            <w:tcW w:w="540" w:type="dxa"/>
            <w:vMerge w:val="restart"/>
            <w:tcBorders>
              <w:top w:val="nil"/>
              <w:left w:val="nil"/>
              <w:bottom w:val="nil"/>
            </w:tcBorders>
            <w:textDirection w:val="btLr"/>
          </w:tcPr>
          <w:p w14:paraId="1A40A1AF" w14:textId="77777777" w:rsidR="00D60C99" w:rsidRPr="002F7FA5" w:rsidRDefault="00D60C99" w:rsidP="00D60C99">
            <w:pPr>
              <w:ind w:left="113" w:right="113"/>
              <w:rPr>
                <w:b/>
                <w:sz w:val="32"/>
                <w:szCs w:val="32"/>
              </w:rPr>
            </w:pPr>
            <w:r w:rsidRPr="002F7FA5">
              <w:rPr>
                <w:b/>
                <w:sz w:val="32"/>
                <w:szCs w:val="32"/>
              </w:rPr>
              <w:t>IMPLEMENTATION</w:t>
            </w:r>
          </w:p>
        </w:tc>
        <w:tc>
          <w:tcPr>
            <w:tcW w:w="1890" w:type="dxa"/>
            <w:shd w:val="clear" w:color="auto" w:fill="00B050"/>
          </w:tcPr>
          <w:p w14:paraId="3C87864C" w14:textId="77777777" w:rsidR="00D60C99" w:rsidRPr="002F7FA5" w:rsidRDefault="00D60C99" w:rsidP="00D60C99">
            <w:pPr>
              <w:rPr>
                <w:b/>
                <w:sz w:val="32"/>
                <w:szCs w:val="32"/>
              </w:rPr>
            </w:pPr>
            <w:r w:rsidRPr="002F7FA5">
              <w:rPr>
                <w:b/>
                <w:sz w:val="32"/>
                <w:szCs w:val="32"/>
              </w:rPr>
              <w:t>Levers</w:t>
            </w:r>
          </w:p>
        </w:tc>
        <w:tc>
          <w:tcPr>
            <w:tcW w:w="1980" w:type="dxa"/>
            <w:shd w:val="clear" w:color="auto" w:fill="00B050"/>
          </w:tcPr>
          <w:p w14:paraId="3637F5A4" w14:textId="77777777" w:rsidR="00D60C99" w:rsidRPr="00650ADD" w:rsidRDefault="00D60C99" w:rsidP="00D60C99">
            <w:pPr>
              <w:rPr>
                <w:b/>
                <w:sz w:val="24"/>
                <w:szCs w:val="24"/>
              </w:rPr>
            </w:pPr>
            <w:r w:rsidRPr="00650ADD">
              <w:rPr>
                <w:b/>
                <w:sz w:val="24"/>
                <w:szCs w:val="24"/>
              </w:rPr>
              <w:t>Policies, Procedures, Practices</w:t>
            </w:r>
          </w:p>
        </w:tc>
        <w:tc>
          <w:tcPr>
            <w:tcW w:w="2160" w:type="dxa"/>
            <w:shd w:val="clear" w:color="auto" w:fill="00B050"/>
          </w:tcPr>
          <w:p w14:paraId="1BD75ADD" w14:textId="77777777" w:rsidR="00D60C99" w:rsidRPr="00650ADD" w:rsidRDefault="00D60C99" w:rsidP="00D60C99">
            <w:pPr>
              <w:rPr>
                <w:b/>
                <w:sz w:val="24"/>
                <w:szCs w:val="24"/>
              </w:rPr>
            </w:pPr>
            <w:r w:rsidRPr="00650ADD">
              <w:rPr>
                <w:b/>
                <w:sz w:val="24"/>
                <w:szCs w:val="24"/>
              </w:rPr>
              <w:t>People</w:t>
            </w:r>
          </w:p>
        </w:tc>
        <w:tc>
          <w:tcPr>
            <w:tcW w:w="2250" w:type="dxa"/>
            <w:gridSpan w:val="2"/>
            <w:shd w:val="clear" w:color="auto" w:fill="00B050"/>
          </w:tcPr>
          <w:p w14:paraId="2FC5924C" w14:textId="77777777" w:rsidR="00D60C99" w:rsidRPr="00650ADD" w:rsidRDefault="00D60C99" w:rsidP="00D60C99">
            <w:pPr>
              <w:rPr>
                <w:b/>
                <w:sz w:val="24"/>
                <w:szCs w:val="24"/>
              </w:rPr>
            </w:pPr>
            <w:r w:rsidRPr="00650ADD">
              <w:rPr>
                <w:b/>
                <w:sz w:val="24"/>
                <w:szCs w:val="24"/>
              </w:rPr>
              <w:t>Communications and Awareness</w:t>
            </w:r>
          </w:p>
        </w:tc>
        <w:tc>
          <w:tcPr>
            <w:tcW w:w="1914" w:type="dxa"/>
            <w:shd w:val="clear" w:color="auto" w:fill="00B050"/>
          </w:tcPr>
          <w:p w14:paraId="498A486C" w14:textId="77777777" w:rsidR="00D60C99" w:rsidRPr="00650ADD" w:rsidRDefault="00D60C99" w:rsidP="00D60C99">
            <w:pPr>
              <w:rPr>
                <w:b/>
                <w:sz w:val="24"/>
                <w:szCs w:val="24"/>
              </w:rPr>
            </w:pPr>
            <w:r w:rsidRPr="00650ADD">
              <w:rPr>
                <w:b/>
                <w:sz w:val="24"/>
                <w:szCs w:val="24"/>
              </w:rPr>
              <w:t>Technology</w:t>
            </w:r>
          </w:p>
        </w:tc>
        <w:tc>
          <w:tcPr>
            <w:tcW w:w="3126" w:type="dxa"/>
            <w:shd w:val="clear" w:color="auto" w:fill="00B050"/>
          </w:tcPr>
          <w:p w14:paraId="590936C4" w14:textId="77777777" w:rsidR="00D60C99" w:rsidRPr="00650ADD" w:rsidRDefault="00D60C99" w:rsidP="00D60C99">
            <w:pPr>
              <w:rPr>
                <w:b/>
                <w:sz w:val="24"/>
                <w:szCs w:val="24"/>
              </w:rPr>
            </w:pPr>
            <w:r w:rsidRPr="00650ADD">
              <w:rPr>
                <w:b/>
                <w:sz w:val="24"/>
                <w:szCs w:val="24"/>
              </w:rPr>
              <w:t>Infrastructure</w:t>
            </w:r>
          </w:p>
        </w:tc>
      </w:tr>
      <w:tr w:rsidR="00D60C99" w14:paraId="7DF91269" w14:textId="77777777" w:rsidTr="002C7C03">
        <w:trPr>
          <w:tblHeader/>
        </w:trPr>
        <w:tc>
          <w:tcPr>
            <w:tcW w:w="828" w:type="dxa"/>
            <w:vMerge/>
            <w:tcBorders>
              <w:left w:val="nil"/>
              <w:bottom w:val="nil"/>
              <w:right w:val="nil"/>
            </w:tcBorders>
          </w:tcPr>
          <w:p w14:paraId="405B8B7C" w14:textId="77777777" w:rsidR="00D60C99" w:rsidRDefault="00D60C99" w:rsidP="00D60C99"/>
        </w:tc>
        <w:tc>
          <w:tcPr>
            <w:tcW w:w="540" w:type="dxa"/>
            <w:vMerge/>
            <w:tcBorders>
              <w:left w:val="nil"/>
              <w:bottom w:val="nil"/>
            </w:tcBorders>
          </w:tcPr>
          <w:p w14:paraId="1302D862" w14:textId="77777777" w:rsidR="00D60C99" w:rsidRDefault="00D60C99" w:rsidP="00D60C99"/>
        </w:tc>
        <w:tc>
          <w:tcPr>
            <w:tcW w:w="1890" w:type="dxa"/>
            <w:shd w:val="clear" w:color="auto" w:fill="92D050"/>
          </w:tcPr>
          <w:p w14:paraId="6F33F440" w14:textId="77777777" w:rsidR="00D60C99" w:rsidRPr="002F7FA5" w:rsidRDefault="00D60C99" w:rsidP="00D60C99">
            <w:pPr>
              <w:rPr>
                <w:b/>
                <w:sz w:val="32"/>
                <w:szCs w:val="32"/>
              </w:rPr>
            </w:pPr>
            <w:r w:rsidRPr="002F7FA5">
              <w:rPr>
                <w:b/>
                <w:sz w:val="32"/>
                <w:szCs w:val="32"/>
              </w:rPr>
              <w:t>Changes</w:t>
            </w:r>
          </w:p>
        </w:tc>
        <w:tc>
          <w:tcPr>
            <w:tcW w:w="1980" w:type="dxa"/>
            <w:shd w:val="clear" w:color="auto" w:fill="92D050"/>
          </w:tcPr>
          <w:p w14:paraId="372E347C" w14:textId="77777777" w:rsidR="00D60C99" w:rsidRPr="00D54EF5" w:rsidRDefault="00D60C99" w:rsidP="00D60C99">
            <w:r w:rsidRPr="00D54EF5">
              <w:t>New/revised directives and policies will reinforce accessibility considerations</w:t>
            </w:r>
          </w:p>
          <w:p w14:paraId="02A04EFE" w14:textId="77777777" w:rsidR="00D60C99" w:rsidRDefault="00D60C99" w:rsidP="00D60C99"/>
          <w:p w14:paraId="5B0326DC" w14:textId="77777777" w:rsidR="00D60C99" w:rsidRPr="00D54EF5" w:rsidRDefault="00D60C99" w:rsidP="00D60C99">
            <w:r w:rsidRPr="00D54EF5">
              <w:t>New and existing tools and guidelines will embed accessibility criteria into day-to-day practices</w:t>
            </w:r>
          </w:p>
          <w:p w14:paraId="22F6B5CB" w14:textId="77777777" w:rsidR="00D60C99" w:rsidRPr="00D54EF5" w:rsidRDefault="00D60C99" w:rsidP="00D60C99"/>
        </w:tc>
        <w:tc>
          <w:tcPr>
            <w:tcW w:w="2160" w:type="dxa"/>
            <w:shd w:val="clear" w:color="auto" w:fill="92D050"/>
          </w:tcPr>
          <w:p w14:paraId="6DA8FE7E" w14:textId="77777777" w:rsidR="00D60C99" w:rsidRDefault="00D60C99" w:rsidP="00D60C99">
            <w:r w:rsidRPr="00D54EF5">
              <w:t>Staff, Faculty, Student Training</w:t>
            </w:r>
          </w:p>
          <w:p w14:paraId="07380823" w14:textId="77777777" w:rsidR="00D60C99" w:rsidRPr="00D54EF5" w:rsidRDefault="00D60C99" w:rsidP="00D60C99"/>
          <w:p w14:paraId="0B9CCA9C" w14:textId="77777777" w:rsidR="00D60C99" w:rsidRPr="00D54EF5" w:rsidRDefault="00D60C99" w:rsidP="00D60C99">
            <w:r w:rsidRPr="00D54EF5">
              <w:t>Accessible human resources practices</w:t>
            </w:r>
          </w:p>
          <w:p w14:paraId="19157660" w14:textId="77777777" w:rsidR="00D60C99" w:rsidRDefault="00D60C99" w:rsidP="00D60C99"/>
          <w:p w14:paraId="676B0116" w14:textId="77777777" w:rsidR="00D60C99" w:rsidRPr="00D54EF5" w:rsidRDefault="00D60C99" w:rsidP="00D60C99">
            <w:r w:rsidRPr="00D54EF5">
              <w:t>Improving employment accommodation practices</w:t>
            </w:r>
          </w:p>
        </w:tc>
        <w:tc>
          <w:tcPr>
            <w:tcW w:w="2250" w:type="dxa"/>
            <w:gridSpan w:val="2"/>
            <w:shd w:val="clear" w:color="auto" w:fill="92D050"/>
          </w:tcPr>
          <w:p w14:paraId="0F159C63" w14:textId="77777777" w:rsidR="00D60C99" w:rsidRPr="00D54EF5" w:rsidRDefault="00D60C99" w:rsidP="00D60C99">
            <w:r w:rsidRPr="00D54EF5">
              <w:t xml:space="preserve">Accessibility information is widely available through </w:t>
            </w:r>
            <w:r w:rsidR="00A301BF">
              <w:t xml:space="preserve">the Accessibility Hub and other </w:t>
            </w:r>
            <w:r w:rsidRPr="00D54EF5">
              <w:t>communications  and events</w:t>
            </w:r>
          </w:p>
          <w:p w14:paraId="4B1D2AF3" w14:textId="77777777" w:rsidR="00D60C99" w:rsidRDefault="00D60C99" w:rsidP="00D60C99"/>
          <w:p w14:paraId="390593D4" w14:textId="77777777" w:rsidR="00D60C99" w:rsidRPr="00D54EF5" w:rsidRDefault="00D60C99" w:rsidP="00D60C99">
            <w:r w:rsidRPr="00D54EF5">
              <w:t>Ongoing stakeholder outreach and consultations with persons with disabilities</w:t>
            </w:r>
          </w:p>
          <w:p w14:paraId="260506E8" w14:textId="77777777" w:rsidR="00D60C99" w:rsidRDefault="00D60C99" w:rsidP="00D60C99"/>
          <w:p w14:paraId="29E6B26C" w14:textId="77777777" w:rsidR="00D60C99" w:rsidRPr="00D54EF5" w:rsidRDefault="00D60C99" w:rsidP="00D60C99">
            <w:r w:rsidRPr="00D54EF5">
              <w:t>Accessible feedback mechanisms are in place</w:t>
            </w:r>
          </w:p>
        </w:tc>
        <w:tc>
          <w:tcPr>
            <w:tcW w:w="1914" w:type="dxa"/>
            <w:shd w:val="clear" w:color="auto" w:fill="92D050"/>
          </w:tcPr>
          <w:p w14:paraId="12579F4C" w14:textId="77777777" w:rsidR="00D60C99" w:rsidRPr="00D54EF5" w:rsidRDefault="00D60C99" w:rsidP="00D60C99">
            <w:r w:rsidRPr="00D54EF5">
              <w:t>Accessible internet sites</w:t>
            </w:r>
          </w:p>
          <w:p w14:paraId="4686D3B7" w14:textId="77777777" w:rsidR="00D60C99" w:rsidRDefault="00D60C99" w:rsidP="00D60C99"/>
          <w:p w14:paraId="3D74FAA8" w14:textId="77777777" w:rsidR="00D60C99" w:rsidRPr="00D54EF5" w:rsidRDefault="00D60C99" w:rsidP="00D60C99">
            <w:r w:rsidRPr="00D54EF5">
              <w:t>Accessibility features are built into new kiosks</w:t>
            </w:r>
          </w:p>
          <w:p w14:paraId="4BC0DD71" w14:textId="77777777" w:rsidR="00D60C99" w:rsidRDefault="00D60C99" w:rsidP="00D60C99"/>
          <w:p w14:paraId="40FC0CCC" w14:textId="77777777" w:rsidR="00D60C99" w:rsidRPr="00D54EF5" w:rsidRDefault="00D60C99" w:rsidP="00D60C99">
            <w:r w:rsidRPr="00D54EF5">
              <w:t>Materials available in accessible formats on request</w:t>
            </w:r>
          </w:p>
          <w:p w14:paraId="2083B24C" w14:textId="77777777" w:rsidR="00D60C99" w:rsidRDefault="00D60C99" w:rsidP="00D60C99"/>
          <w:p w14:paraId="775BCC52" w14:textId="77777777" w:rsidR="00D60C99" w:rsidRPr="00D54EF5" w:rsidRDefault="00D60C99" w:rsidP="00D60C99">
            <w:r w:rsidRPr="00D54EF5">
              <w:t>ITS staff familiar with adaptive technology and can provide client assistance</w:t>
            </w:r>
          </w:p>
        </w:tc>
        <w:tc>
          <w:tcPr>
            <w:tcW w:w="3126" w:type="dxa"/>
            <w:shd w:val="clear" w:color="auto" w:fill="92D050"/>
          </w:tcPr>
          <w:p w14:paraId="17BA6745" w14:textId="77777777" w:rsidR="00D60C99" w:rsidRDefault="00D60C99" w:rsidP="00D60C99">
            <w:r w:rsidRPr="00711545">
              <w:t>New facilities and all future extensive renovations are completed to meet accessibility standard</w:t>
            </w:r>
            <w:r>
              <w:t>s</w:t>
            </w:r>
            <w:r w:rsidRPr="00711545">
              <w:t xml:space="preserve"> and O</w:t>
            </w:r>
            <w:r>
              <w:t xml:space="preserve">ntario </w:t>
            </w:r>
            <w:r w:rsidRPr="00711545">
              <w:t>B</w:t>
            </w:r>
            <w:r>
              <w:t xml:space="preserve">uilding Code </w:t>
            </w:r>
            <w:r w:rsidRPr="00711545">
              <w:t>barrier-free design</w:t>
            </w:r>
          </w:p>
          <w:p w14:paraId="651870BF" w14:textId="77777777" w:rsidR="00D60C99" w:rsidRDefault="00D60C99" w:rsidP="00D60C99"/>
          <w:p w14:paraId="75AA2F71" w14:textId="77777777" w:rsidR="00D60C99" w:rsidRPr="00711545" w:rsidRDefault="00D60C99" w:rsidP="00D60C99"/>
          <w:p w14:paraId="1CEAFD03" w14:textId="77777777" w:rsidR="00D60C99" w:rsidRPr="00510098" w:rsidRDefault="00D60C99" w:rsidP="00D60C99">
            <w:pPr>
              <w:rPr>
                <w:sz w:val="24"/>
                <w:szCs w:val="24"/>
              </w:rPr>
            </w:pPr>
          </w:p>
        </w:tc>
      </w:tr>
      <w:tr w:rsidR="00D60C99" w14:paraId="19C49701" w14:textId="77777777" w:rsidTr="002C7C03">
        <w:trPr>
          <w:tblHeader/>
        </w:trPr>
        <w:tc>
          <w:tcPr>
            <w:tcW w:w="828" w:type="dxa"/>
            <w:vMerge/>
            <w:tcBorders>
              <w:left w:val="nil"/>
              <w:bottom w:val="nil"/>
              <w:right w:val="nil"/>
            </w:tcBorders>
          </w:tcPr>
          <w:p w14:paraId="57443A6F" w14:textId="77777777" w:rsidR="00D60C99" w:rsidRDefault="00D60C99" w:rsidP="00D60C99"/>
        </w:tc>
        <w:tc>
          <w:tcPr>
            <w:tcW w:w="540" w:type="dxa"/>
            <w:vMerge/>
            <w:tcBorders>
              <w:left w:val="nil"/>
              <w:bottom w:val="nil"/>
            </w:tcBorders>
          </w:tcPr>
          <w:p w14:paraId="6F828A90" w14:textId="77777777" w:rsidR="00D60C99" w:rsidRDefault="00D60C99" w:rsidP="00D60C99"/>
        </w:tc>
        <w:tc>
          <w:tcPr>
            <w:tcW w:w="1890" w:type="dxa"/>
            <w:vMerge w:val="restart"/>
            <w:shd w:val="clear" w:color="auto" w:fill="FFC000"/>
          </w:tcPr>
          <w:p w14:paraId="7E0AB922" w14:textId="77777777" w:rsidR="00D60C99" w:rsidRPr="002F7FA5" w:rsidRDefault="00D60C99" w:rsidP="00D60C99">
            <w:pPr>
              <w:rPr>
                <w:b/>
                <w:sz w:val="32"/>
                <w:szCs w:val="32"/>
              </w:rPr>
            </w:pPr>
            <w:r w:rsidRPr="002F7FA5">
              <w:rPr>
                <w:b/>
                <w:sz w:val="32"/>
                <w:szCs w:val="32"/>
              </w:rPr>
              <w:t>Foundation</w:t>
            </w:r>
          </w:p>
        </w:tc>
        <w:tc>
          <w:tcPr>
            <w:tcW w:w="4140" w:type="dxa"/>
            <w:gridSpan w:val="2"/>
            <w:shd w:val="clear" w:color="auto" w:fill="FFC000"/>
          </w:tcPr>
          <w:p w14:paraId="7C6D533F" w14:textId="77777777" w:rsidR="00D60C99" w:rsidRPr="00510098" w:rsidRDefault="00D60C99" w:rsidP="00D60C99">
            <w:pPr>
              <w:jc w:val="center"/>
              <w:rPr>
                <w:b/>
                <w:sz w:val="24"/>
                <w:szCs w:val="24"/>
              </w:rPr>
            </w:pPr>
            <w:r w:rsidRPr="00510098">
              <w:rPr>
                <w:b/>
                <w:sz w:val="24"/>
                <w:szCs w:val="24"/>
              </w:rPr>
              <w:t>Informed and Committed Leadership</w:t>
            </w:r>
          </w:p>
        </w:tc>
        <w:tc>
          <w:tcPr>
            <w:tcW w:w="7290" w:type="dxa"/>
            <w:gridSpan w:val="4"/>
            <w:shd w:val="clear" w:color="auto" w:fill="FFC000"/>
          </w:tcPr>
          <w:p w14:paraId="091F8882" w14:textId="77777777" w:rsidR="00D60C99" w:rsidRPr="00510098" w:rsidRDefault="00D60C99" w:rsidP="00D60C99">
            <w:pPr>
              <w:jc w:val="center"/>
              <w:rPr>
                <w:b/>
                <w:sz w:val="24"/>
                <w:szCs w:val="24"/>
              </w:rPr>
            </w:pPr>
            <w:r w:rsidRPr="00510098">
              <w:rPr>
                <w:b/>
                <w:sz w:val="24"/>
                <w:szCs w:val="24"/>
              </w:rPr>
              <w:t>Strong Governance and Accountability</w:t>
            </w:r>
          </w:p>
        </w:tc>
      </w:tr>
      <w:tr w:rsidR="00D60C99" w14:paraId="124F0098" w14:textId="77777777" w:rsidTr="002C7C03">
        <w:trPr>
          <w:tblHeader/>
        </w:trPr>
        <w:tc>
          <w:tcPr>
            <w:tcW w:w="828" w:type="dxa"/>
            <w:vMerge/>
            <w:tcBorders>
              <w:left w:val="nil"/>
              <w:bottom w:val="nil"/>
              <w:right w:val="nil"/>
            </w:tcBorders>
          </w:tcPr>
          <w:p w14:paraId="25E1C88C" w14:textId="77777777" w:rsidR="00D60C99" w:rsidRDefault="00D60C99" w:rsidP="00D60C99"/>
        </w:tc>
        <w:tc>
          <w:tcPr>
            <w:tcW w:w="540" w:type="dxa"/>
            <w:vMerge/>
            <w:tcBorders>
              <w:left w:val="nil"/>
              <w:bottom w:val="nil"/>
            </w:tcBorders>
          </w:tcPr>
          <w:p w14:paraId="61D76BC3" w14:textId="77777777" w:rsidR="00D60C99" w:rsidRDefault="00D60C99" w:rsidP="00D60C99"/>
        </w:tc>
        <w:tc>
          <w:tcPr>
            <w:tcW w:w="1890" w:type="dxa"/>
            <w:vMerge/>
            <w:shd w:val="clear" w:color="auto" w:fill="FFC000"/>
          </w:tcPr>
          <w:p w14:paraId="204E0DEE" w14:textId="77777777" w:rsidR="00D60C99" w:rsidRDefault="00D60C99" w:rsidP="00D60C99"/>
        </w:tc>
        <w:tc>
          <w:tcPr>
            <w:tcW w:w="4140" w:type="dxa"/>
            <w:gridSpan w:val="2"/>
            <w:shd w:val="clear" w:color="auto" w:fill="FFC000"/>
          </w:tcPr>
          <w:p w14:paraId="6D792120" w14:textId="77777777" w:rsidR="00D60C99" w:rsidRPr="00510098" w:rsidRDefault="00D60C99" w:rsidP="00D60C99">
            <w:pPr>
              <w:jc w:val="center"/>
              <w:rPr>
                <w:b/>
                <w:sz w:val="24"/>
                <w:szCs w:val="24"/>
              </w:rPr>
            </w:pPr>
            <w:r w:rsidRPr="00510098">
              <w:rPr>
                <w:b/>
                <w:sz w:val="24"/>
                <w:szCs w:val="24"/>
              </w:rPr>
              <w:t>Alignment and Coordination</w:t>
            </w:r>
          </w:p>
        </w:tc>
        <w:tc>
          <w:tcPr>
            <w:tcW w:w="7290" w:type="dxa"/>
            <w:gridSpan w:val="4"/>
            <w:shd w:val="clear" w:color="auto" w:fill="FFC000"/>
          </w:tcPr>
          <w:p w14:paraId="5AF8B545" w14:textId="77777777" w:rsidR="00D60C99" w:rsidRPr="00510098" w:rsidRDefault="00D60C99" w:rsidP="00D60C99">
            <w:pPr>
              <w:jc w:val="center"/>
              <w:rPr>
                <w:b/>
                <w:sz w:val="24"/>
                <w:szCs w:val="24"/>
              </w:rPr>
            </w:pPr>
            <w:r w:rsidRPr="00510098">
              <w:rPr>
                <w:b/>
                <w:sz w:val="24"/>
                <w:szCs w:val="24"/>
              </w:rPr>
              <w:t>Measurement, Evaluation, and Reporting</w:t>
            </w:r>
          </w:p>
        </w:tc>
      </w:tr>
    </w:tbl>
    <w:p w14:paraId="7BD6899A" w14:textId="77777777" w:rsidR="00D60C99" w:rsidRDefault="00D60C99" w:rsidP="00D60C99">
      <w:pPr>
        <w:rPr>
          <w:rFonts w:cs="Arial"/>
          <w:lang w:val="en-CA"/>
        </w:rPr>
      </w:pPr>
      <w:r>
        <w:t>*based on a concept from the Ontario Public Service with thanks</w:t>
      </w:r>
      <w:r w:rsidR="004E6BCA">
        <w:t xml:space="preserve">, </w:t>
      </w:r>
      <w:r w:rsidR="004E6BCA" w:rsidRPr="004E6BCA">
        <w:rPr>
          <w:rFonts w:cs="Arial"/>
          <w:lang w:val="en-CA"/>
        </w:rPr>
        <w:t xml:space="preserve">any accessibility issues with the above table please contact </w:t>
      </w:r>
      <w:r w:rsidR="004E6BCA">
        <w:rPr>
          <w:rFonts w:cs="Arial"/>
          <w:lang w:val="en-CA"/>
        </w:rPr>
        <w:t>32563</w:t>
      </w:r>
      <w:r w:rsidR="004E6BCA" w:rsidRPr="004E6BCA">
        <w:rPr>
          <w:rFonts w:cs="Arial"/>
          <w:lang w:val="en-CA"/>
        </w:rPr>
        <w:t xml:space="preserve"> for clarification</w:t>
      </w:r>
      <w:r w:rsidR="004E6BCA">
        <w:rPr>
          <w:rFonts w:cs="Arial"/>
          <w:lang w:val="en-CA"/>
        </w:rPr>
        <w:t>.</w:t>
      </w:r>
    </w:p>
    <w:p w14:paraId="7069D699" w14:textId="77777777" w:rsidR="00011A7D" w:rsidRDefault="00011A7D" w:rsidP="00D60C99">
      <w:pPr>
        <w:sectPr w:rsidR="00011A7D" w:rsidSect="00F329B7">
          <w:pgSz w:w="15840" w:h="12240" w:orient="landscape"/>
          <w:pgMar w:top="1440" w:right="864" w:bottom="864" w:left="864" w:header="706" w:footer="706" w:gutter="0"/>
          <w:cols w:space="708"/>
          <w:docGrid w:linePitch="360"/>
        </w:sectPr>
      </w:pPr>
    </w:p>
    <w:p w14:paraId="275A9CF3" w14:textId="77777777" w:rsidR="00625DAA" w:rsidRPr="009F0E4B" w:rsidRDefault="007C18B1" w:rsidP="00625DAA">
      <w:pPr>
        <w:pStyle w:val="Heading1"/>
        <w:rPr>
          <w:rFonts w:asciiTheme="minorHAnsi" w:hAnsiTheme="minorHAnsi" w:cstheme="minorHAnsi"/>
        </w:rPr>
      </w:pPr>
      <w:bookmarkStart w:id="10" w:name="_Toc392242960"/>
      <w:r>
        <w:rPr>
          <w:rFonts w:asciiTheme="minorHAnsi" w:hAnsiTheme="minorHAnsi" w:cstheme="minorHAnsi"/>
        </w:rPr>
        <w:t xml:space="preserve">Section Two: </w:t>
      </w:r>
      <w:r w:rsidR="00863173">
        <w:rPr>
          <w:rFonts w:asciiTheme="minorHAnsi" w:hAnsiTheme="minorHAnsi" w:cstheme="minorHAnsi"/>
        </w:rPr>
        <w:t>Status Update – Year 1</w:t>
      </w:r>
      <w:r w:rsidR="00D110BA">
        <w:rPr>
          <w:rFonts w:asciiTheme="minorHAnsi" w:hAnsiTheme="minorHAnsi" w:cstheme="minorHAnsi"/>
        </w:rPr>
        <w:t xml:space="preserve"> (2013/2014)</w:t>
      </w:r>
      <w:r w:rsidR="00DC1589">
        <w:rPr>
          <w:rFonts w:asciiTheme="minorHAnsi" w:hAnsiTheme="minorHAnsi" w:cstheme="minorHAnsi"/>
        </w:rPr>
        <w:t xml:space="preserve"> – Meeting AODA Requirements</w:t>
      </w:r>
      <w:bookmarkEnd w:id="10"/>
      <w:r w:rsidR="00DC1589">
        <w:rPr>
          <w:rFonts w:asciiTheme="minorHAnsi" w:hAnsiTheme="minorHAnsi" w:cstheme="minorHAnsi"/>
        </w:rPr>
        <w:t xml:space="preserve"> </w:t>
      </w:r>
    </w:p>
    <w:p w14:paraId="5A43E95F" w14:textId="77777777" w:rsidR="00625DAA" w:rsidRPr="009F0E4B" w:rsidRDefault="00625DAA" w:rsidP="00625DAA">
      <w:pPr>
        <w:spacing w:after="0"/>
        <w:jc w:val="both"/>
        <w:rPr>
          <w:rFonts w:eastAsia="Times New Roman" w:cstheme="minorHAnsi"/>
          <w:sz w:val="24"/>
          <w:szCs w:val="24"/>
        </w:rPr>
      </w:pPr>
    </w:p>
    <w:p w14:paraId="7A5CCC35" w14:textId="2072AB4D" w:rsidR="00625DAA" w:rsidRDefault="0078448A" w:rsidP="0078448A">
      <w:pPr>
        <w:jc w:val="both"/>
        <w:rPr>
          <w:rFonts w:eastAsia="Times New Roman" w:cstheme="minorHAnsi"/>
          <w:sz w:val="24"/>
          <w:szCs w:val="24"/>
        </w:rPr>
      </w:pPr>
      <w:r>
        <w:rPr>
          <w:rFonts w:eastAsia="Times New Roman" w:cstheme="minorHAnsi"/>
          <w:sz w:val="24"/>
          <w:szCs w:val="24"/>
        </w:rPr>
        <w:t>The following is a summary of actions taken to achieve compliance with</w:t>
      </w:r>
      <w:r w:rsidR="00306410">
        <w:rPr>
          <w:rFonts w:eastAsia="Times New Roman" w:cstheme="minorHAnsi"/>
          <w:sz w:val="24"/>
          <w:szCs w:val="24"/>
        </w:rPr>
        <w:t xml:space="preserve"> 2013/2014 </w:t>
      </w:r>
      <w:r w:rsidR="00847E88">
        <w:rPr>
          <w:rFonts w:eastAsia="Times New Roman" w:cstheme="minorHAnsi"/>
          <w:sz w:val="24"/>
          <w:szCs w:val="24"/>
        </w:rPr>
        <w:t xml:space="preserve">applicable </w:t>
      </w:r>
      <w:r w:rsidR="00306410">
        <w:rPr>
          <w:rFonts w:eastAsia="Times New Roman" w:cstheme="minorHAnsi"/>
          <w:sz w:val="24"/>
          <w:szCs w:val="24"/>
        </w:rPr>
        <w:t xml:space="preserve">requirements under the AODA and the Integrated Accessibility </w:t>
      </w:r>
      <w:r w:rsidR="0079494B">
        <w:rPr>
          <w:rFonts w:eastAsia="Times New Roman" w:cstheme="minorHAnsi"/>
          <w:sz w:val="24"/>
          <w:szCs w:val="24"/>
        </w:rPr>
        <w:t>Standards Regulation (IASR 191/11).</w:t>
      </w:r>
      <w:r w:rsidR="00311F03">
        <w:rPr>
          <w:rFonts w:eastAsia="Times New Roman" w:cstheme="minorHAnsi"/>
          <w:sz w:val="24"/>
          <w:szCs w:val="24"/>
        </w:rPr>
        <w:t xml:space="preserve"> </w:t>
      </w:r>
      <w:r w:rsidR="00A22239">
        <w:rPr>
          <w:rFonts w:eastAsia="Times New Roman" w:cstheme="minorHAnsi"/>
          <w:sz w:val="24"/>
          <w:szCs w:val="24"/>
        </w:rPr>
        <w:t>Compliance deadlines appear in brackets and refer to January 1</w:t>
      </w:r>
      <w:r w:rsidR="00A22239" w:rsidRPr="00A22239">
        <w:rPr>
          <w:rFonts w:eastAsia="Times New Roman" w:cstheme="minorHAnsi"/>
          <w:sz w:val="24"/>
          <w:szCs w:val="24"/>
          <w:vertAlign w:val="superscript"/>
        </w:rPr>
        <w:t>st</w:t>
      </w:r>
      <w:r w:rsidR="00A22239">
        <w:rPr>
          <w:rFonts w:eastAsia="Times New Roman" w:cstheme="minorHAnsi"/>
          <w:sz w:val="24"/>
          <w:szCs w:val="24"/>
        </w:rPr>
        <w:t xml:space="preserve"> of the given year.</w:t>
      </w:r>
      <w:r w:rsidR="00CA064B">
        <w:rPr>
          <w:rFonts w:eastAsia="Times New Roman" w:cstheme="minorHAnsi"/>
          <w:sz w:val="24"/>
          <w:szCs w:val="24"/>
        </w:rPr>
        <w:t xml:space="preserve"> Bullets in red indicate that although the compliance date has passed, there is a plan in place for reaching compliance.</w:t>
      </w:r>
    </w:p>
    <w:p w14:paraId="55130045" w14:textId="77777777" w:rsidR="00306410" w:rsidRDefault="00306410" w:rsidP="00306410">
      <w:pPr>
        <w:pStyle w:val="Heading2"/>
        <w:rPr>
          <w:rFonts w:eastAsia="Times New Roman"/>
        </w:rPr>
      </w:pPr>
      <w:bookmarkStart w:id="11" w:name="_Toc392242961"/>
      <w:r>
        <w:rPr>
          <w:rFonts w:eastAsia="Times New Roman"/>
        </w:rPr>
        <w:t>General Requirements</w:t>
      </w:r>
      <w:bookmarkEnd w:id="11"/>
    </w:p>
    <w:p w14:paraId="54FE2A03" w14:textId="77777777" w:rsidR="00306410" w:rsidRDefault="0079494B" w:rsidP="00306410">
      <w:pPr>
        <w:rPr>
          <w:sz w:val="24"/>
          <w:szCs w:val="24"/>
        </w:rPr>
      </w:pPr>
      <w:r>
        <w:rPr>
          <w:b/>
          <w:sz w:val="24"/>
          <w:szCs w:val="24"/>
        </w:rPr>
        <w:t>191/11, section 3 – Accessibility Policy and statement of organizational commitment</w:t>
      </w:r>
      <w:r w:rsidR="00A22239">
        <w:rPr>
          <w:b/>
          <w:sz w:val="24"/>
          <w:szCs w:val="24"/>
        </w:rPr>
        <w:t xml:space="preserve"> (2013)</w:t>
      </w:r>
    </w:p>
    <w:p w14:paraId="359E91DA" w14:textId="77777777" w:rsidR="0079494B" w:rsidRDefault="0079494B" w:rsidP="003C14DC">
      <w:pPr>
        <w:pStyle w:val="ListParagraph"/>
        <w:numPr>
          <w:ilvl w:val="0"/>
          <w:numId w:val="8"/>
        </w:numPr>
        <w:rPr>
          <w:sz w:val="24"/>
          <w:szCs w:val="24"/>
        </w:rPr>
      </w:pPr>
      <w:r>
        <w:rPr>
          <w:sz w:val="24"/>
          <w:szCs w:val="24"/>
        </w:rPr>
        <w:t>Accessibility Policy and statement of organizational commitment approved by Vice-Principals’ Operations Committee (VPOC) November 25</w:t>
      </w:r>
      <w:r w:rsidRPr="0079494B">
        <w:rPr>
          <w:sz w:val="24"/>
          <w:szCs w:val="24"/>
          <w:vertAlign w:val="superscript"/>
        </w:rPr>
        <w:t>th</w:t>
      </w:r>
      <w:r>
        <w:rPr>
          <w:sz w:val="24"/>
          <w:szCs w:val="24"/>
        </w:rPr>
        <w:t xml:space="preserve">, 2013, it can be found </w:t>
      </w:r>
      <w:hyperlink r:id="rId25" w:history="1">
        <w:r w:rsidRPr="0079494B">
          <w:rPr>
            <w:rStyle w:val="Hyperlink"/>
            <w:sz w:val="24"/>
            <w:szCs w:val="24"/>
          </w:rPr>
          <w:t>here</w:t>
        </w:r>
      </w:hyperlink>
      <w:r>
        <w:rPr>
          <w:sz w:val="24"/>
          <w:szCs w:val="24"/>
        </w:rPr>
        <w:t>.</w:t>
      </w:r>
    </w:p>
    <w:p w14:paraId="1F4E2D17" w14:textId="77777777" w:rsidR="0079494B" w:rsidRDefault="0079494B" w:rsidP="003C14DC">
      <w:pPr>
        <w:pStyle w:val="ListParagraph"/>
        <w:numPr>
          <w:ilvl w:val="0"/>
          <w:numId w:val="8"/>
        </w:numPr>
        <w:rPr>
          <w:sz w:val="24"/>
          <w:szCs w:val="24"/>
        </w:rPr>
      </w:pPr>
      <w:r>
        <w:rPr>
          <w:sz w:val="24"/>
          <w:szCs w:val="24"/>
        </w:rPr>
        <w:t>Policy Advisory Subcommittee of VPOC takes accessibility into account when  reviewing all policies, procedures, and guidelines</w:t>
      </w:r>
    </w:p>
    <w:p w14:paraId="15249D7B" w14:textId="77777777" w:rsidR="0079494B" w:rsidRDefault="0079494B" w:rsidP="0079494B">
      <w:pPr>
        <w:rPr>
          <w:b/>
          <w:sz w:val="24"/>
          <w:szCs w:val="24"/>
        </w:rPr>
      </w:pPr>
      <w:r>
        <w:rPr>
          <w:b/>
          <w:sz w:val="24"/>
          <w:szCs w:val="24"/>
        </w:rPr>
        <w:t>191/11, section</w:t>
      </w:r>
      <w:r w:rsidR="00A018ED">
        <w:rPr>
          <w:b/>
          <w:sz w:val="24"/>
          <w:szCs w:val="24"/>
        </w:rPr>
        <w:t xml:space="preserve"> 4</w:t>
      </w:r>
      <w:r>
        <w:rPr>
          <w:b/>
          <w:sz w:val="24"/>
          <w:szCs w:val="24"/>
        </w:rPr>
        <w:t xml:space="preserve"> </w:t>
      </w:r>
      <w:r w:rsidR="006079EB">
        <w:rPr>
          <w:b/>
          <w:sz w:val="24"/>
          <w:szCs w:val="24"/>
        </w:rPr>
        <w:t>–</w:t>
      </w:r>
      <w:r>
        <w:rPr>
          <w:b/>
          <w:sz w:val="24"/>
          <w:szCs w:val="24"/>
        </w:rPr>
        <w:t xml:space="preserve"> </w:t>
      </w:r>
      <w:r w:rsidR="006079EB">
        <w:rPr>
          <w:b/>
          <w:sz w:val="24"/>
          <w:szCs w:val="24"/>
        </w:rPr>
        <w:t xml:space="preserve">Multi-Year </w:t>
      </w:r>
      <w:r>
        <w:rPr>
          <w:b/>
          <w:sz w:val="24"/>
          <w:szCs w:val="24"/>
        </w:rPr>
        <w:t>Accessibility Plans</w:t>
      </w:r>
      <w:r w:rsidR="006079EB">
        <w:rPr>
          <w:b/>
          <w:sz w:val="24"/>
          <w:szCs w:val="24"/>
        </w:rPr>
        <w:t xml:space="preserve"> and Annual Status Reports</w:t>
      </w:r>
      <w:r w:rsidR="00A22239">
        <w:rPr>
          <w:b/>
          <w:sz w:val="24"/>
          <w:szCs w:val="24"/>
        </w:rPr>
        <w:t xml:space="preserve"> (2013)</w:t>
      </w:r>
    </w:p>
    <w:p w14:paraId="38BA2E28" w14:textId="77777777" w:rsidR="006079EB" w:rsidRDefault="006079EB" w:rsidP="003C14DC">
      <w:pPr>
        <w:pStyle w:val="ListParagraph"/>
        <w:numPr>
          <w:ilvl w:val="0"/>
          <w:numId w:val="9"/>
        </w:numPr>
        <w:rPr>
          <w:sz w:val="24"/>
          <w:szCs w:val="24"/>
        </w:rPr>
      </w:pPr>
      <w:r>
        <w:rPr>
          <w:sz w:val="24"/>
          <w:szCs w:val="24"/>
        </w:rPr>
        <w:t xml:space="preserve">2013-2016 Multi-Year Accessibility Plan approved by VPOC October 31, 2013 and </w:t>
      </w:r>
      <w:r w:rsidR="00BB18C8">
        <w:rPr>
          <w:sz w:val="24"/>
          <w:szCs w:val="24"/>
        </w:rPr>
        <w:t xml:space="preserve">is </w:t>
      </w:r>
      <w:r>
        <w:rPr>
          <w:sz w:val="24"/>
          <w:szCs w:val="24"/>
        </w:rPr>
        <w:t xml:space="preserve">posted </w:t>
      </w:r>
      <w:hyperlink r:id="rId26" w:history="1">
        <w:r w:rsidRPr="006079EB">
          <w:rPr>
            <w:rStyle w:val="Hyperlink"/>
            <w:sz w:val="24"/>
            <w:szCs w:val="24"/>
          </w:rPr>
          <w:t>here</w:t>
        </w:r>
      </w:hyperlink>
      <w:r>
        <w:rPr>
          <w:sz w:val="24"/>
          <w:szCs w:val="24"/>
        </w:rPr>
        <w:t>.</w:t>
      </w:r>
    </w:p>
    <w:p w14:paraId="59899064" w14:textId="77777777" w:rsidR="006079EB" w:rsidRDefault="006079EB" w:rsidP="003C14DC">
      <w:pPr>
        <w:pStyle w:val="ListParagraph"/>
        <w:numPr>
          <w:ilvl w:val="0"/>
          <w:numId w:val="9"/>
        </w:numPr>
        <w:rPr>
          <w:sz w:val="24"/>
          <w:szCs w:val="24"/>
        </w:rPr>
      </w:pPr>
      <w:r>
        <w:rPr>
          <w:sz w:val="24"/>
          <w:szCs w:val="24"/>
        </w:rPr>
        <w:t xml:space="preserve">2014 Annual Status Report </w:t>
      </w:r>
      <w:r w:rsidR="003C498D">
        <w:rPr>
          <w:sz w:val="24"/>
          <w:szCs w:val="24"/>
        </w:rPr>
        <w:t>received for information and comment</w:t>
      </w:r>
      <w:r>
        <w:rPr>
          <w:sz w:val="24"/>
          <w:szCs w:val="24"/>
        </w:rPr>
        <w:t xml:space="preserve"> </w:t>
      </w:r>
      <w:r w:rsidRPr="006079EB">
        <w:rPr>
          <w:sz w:val="24"/>
          <w:szCs w:val="24"/>
          <w:highlight w:val="yellow"/>
        </w:rPr>
        <w:t>by VPOC date</w:t>
      </w:r>
      <w:r>
        <w:rPr>
          <w:sz w:val="24"/>
          <w:szCs w:val="24"/>
        </w:rPr>
        <w:t xml:space="preserve"> and </w:t>
      </w:r>
      <w:r w:rsidR="00BB18C8">
        <w:rPr>
          <w:sz w:val="24"/>
          <w:szCs w:val="24"/>
        </w:rPr>
        <w:t xml:space="preserve">is </w:t>
      </w:r>
      <w:r>
        <w:rPr>
          <w:sz w:val="24"/>
          <w:szCs w:val="24"/>
        </w:rPr>
        <w:t xml:space="preserve">posted </w:t>
      </w:r>
      <w:hyperlink r:id="rId27" w:history="1">
        <w:r w:rsidRPr="006079EB">
          <w:rPr>
            <w:rStyle w:val="Hyperlink"/>
            <w:sz w:val="24"/>
            <w:szCs w:val="24"/>
          </w:rPr>
          <w:t>here</w:t>
        </w:r>
      </w:hyperlink>
      <w:r>
        <w:rPr>
          <w:sz w:val="24"/>
          <w:szCs w:val="24"/>
        </w:rPr>
        <w:t xml:space="preserve">. </w:t>
      </w:r>
    </w:p>
    <w:p w14:paraId="0D7540B2" w14:textId="77777777" w:rsidR="006079EB" w:rsidRDefault="00A018ED" w:rsidP="006079EB">
      <w:pPr>
        <w:rPr>
          <w:sz w:val="24"/>
          <w:szCs w:val="24"/>
        </w:rPr>
      </w:pPr>
      <w:r>
        <w:rPr>
          <w:b/>
          <w:sz w:val="24"/>
          <w:szCs w:val="24"/>
        </w:rPr>
        <w:t xml:space="preserve">191/11, section 5 </w:t>
      </w:r>
      <w:r w:rsidR="00BB18C8">
        <w:rPr>
          <w:b/>
          <w:sz w:val="24"/>
          <w:szCs w:val="24"/>
        </w:rPr>
        <w:t>–</w:t>
      </w:r>
      <w:r>
        <w:rPr>
          <w:b/>
          <w:sz w:val="24"/>
          <w:szCs w:val="24"/>
        </w:rPr>
        <w:t xml:space="preserve"> </w:t>
      </w:r>
      <w:r w:rsidR="00BB18C8">
        <w:rPr>
          <w:b/>
          <w:sz w:val="24"/>
          <w:szCs w:val="24"/>
        </w:rPr>
        <w:t>Procuring goods, services or facilities</w:t>
      </w:r>
      <w:r w:rsidR="00A22239">
        <w:rPr>
          <w:b/>
          <w:sz w:val="24"/>
          <w:szCs w:val="24"/>
        </w:rPr>
        <w:t xml:space="preserve"> (2013)</w:t>
      </w:r>
    </w:p>
    <w:p w14:paraId="663FA382" w14:textId="77777777" w:rsidR="00BB18C8" w:rsidRDefault="00BB18C8" w:rsidP="003C14DC">
      <w:pPr>
        <w:pStyle w:val="ListParagraph"/>
        <w:numPr>
          <w:ilvl w:val="0"/>
          <w:numId w:val="10"/>
        </w:numPr>
        <w:rPr>
          <w:sz w:val="24"/>
          <w:szCs w:val="24"/>
        </w:rPr>
      </w:pPr>
      <w:r>
        <w:rPr>
          <w:sz w:val="24"/>
          <w:szCs w:val="24"/>
        </w:rPr>
        <w:t xml:space="preserve">Procurement Policy approved by VPOC April 29, 2013 and is posted </w:t>
      </w:r>
      <w:hyperlink r:id="rId28" w:history="1">
        <w:r w:rsidRPr="00BB18C8">
          <w:rPr>
            <w:rStyle w:val="Hyperlink"/>
            <w:sz w:val="24"/>
            <w:szCs w:val="24"/>
          </w:rPr>
          <w:t>here</w:t>
        </w:r>
      </w:hyperlink>
      <w:r>
        <w:rPr>
          <w:sz w:val="24"/>
          <w:szCs w:val="24"/>
        </w:rPr>
        <w:t>.</w:t>
      </w:r>
    </w:p>
    <w:p w14:paraId="3270B0EE" w14:textId="77777777" w:rsidR="00BB18C8" w:rsidRDefault="00BB18C8" w:rsidP="003C14DC">
      <w:pPr>
        <w:pStyle w:val="ListParagraph"/>
        <w:numPr>
          <w:ilvl w:val="0"/>
          <w:numId w:val="10"/>
        </w:numPr>
        <w:rPr>
          <w:sz w:val="24"/>
          <w:szCs w:val="24"/>
        </w:rPr>
      </w:pPr>
      <w:r>
        <w:rPr>
          <w:sz w:val="24"/>
          <w:szCs w:val="24"/>
        </w:rPr>
        <w:t xml:space="preserve">Learning and Development tool on procurement can be found </w:t>
      </w:r>
      <w:hyperlink r:id="rId29" w:history="1">
        <w:r w:rsidRPr="00BB18C8">
          <w:rPr>
            <w:rStyle w:val="Hyperlink"/>
            <w:sz w:val="24"/>
            <w:szCs w:val="24"/>
          </w:rPr>
          <w:t>here</w:t>
        </w:r>
      </w:hyperlink>
      <w:r>
        <w:rPr>
          <w:sz w:val="24"/>
          <w:szCs w:val="24"/>
        </w:rPr>
        <w:t>.</w:t>
      </w:r>
    </w:p>
    <w:p w14:paraId="28407A39" w14:textId="77777777" w:rsidR="00796CB9" w:rsidRDefault="00796CB9" w:rsidP="003C14DC">
      <w:pPr>
        <w:pStyle w:val="ListParagraph"/>
        <w:numPr>
          <w:ilvl w:val="0"/>
          <w:numId w:val="10"/>
        </w:numPr>
        <w:rPr>
          <w:sz w:val="24"/>
          <w:szCs w:val="24"/>
        </w:rPr>
      </w:pPr>
      <w:r>
        <w:rPr>
          <w:sz w:val="24"/>
          <w:szCs w:val="24"/>
        </w:rPr>
        <w:t>RFP process and all new contracts have added accessibility language/references.</w:t>
      </w:r>
    </w:p>
    <w:p w14:paraId="4C9D956D" w14:textId="77777777" w:rsidR="00796CB9" w:rsidRDefault="00796CB9" w:rsidP="00796CB9">
      <w:pPr>
        <w:rPr>
          <w:b/>
          <w:sz w:val="24"/>
          <w:szCs w:val="24"/>
        </w:rPr>
      </w:pPr>
      <w:r>
        <w:rPr>
          <w:b/>
          <w:sz w:val="24"/>
          <w:szCs w:val="24"/>
        </w:rPr>
        <w:t>191/11, section 6 – Self-service kiosks</w:t>
      </w:r>
      <w:r w:rsidR="00A22239">
        <w:rPr>
          <w:b/>
          <w:sz w:val="24"/>
          <w:szCs w:val="24"/>
        </w:rPr>
        <w:t xml:space="preserve"> (2013)</w:t>
      </w:r>
    </w:p>
    <w:p w14:paraId="547A63B1" w14:textId="77777777" w:rsidR="00796CB9" w:rsidRDefault="00796CB9" w:rsidP="003C14DC">
      <w:pPr>
        <w:pStyle w:val="ListParagraph"/>
        <w:numPr>
          <w:ilvl w:val="0"/>
          <w:numId w:val="11"/>
        </w:numPr>
        <w:rPr>
          <w:sz w:val="24"/>
          <w:szCs w:val="24"/>
        </w:rPr>
      </w:pPr>
      <w:r>
        <w:rPr>
          <w:sz w:val="24"/>
          <w:szCs w:val="24"/>
        </w:rPr>
        <w:t>Queen’s University shall incorporate accessibility features when designing, procuring or acquiring self-service kiosks, as per actions under section 5 above.</w:t>
      </w:r>
    </w:p>
    <w:p w14:paraId="764F691F" w14:textId="77777777" w:rsidR="00796CB9" w:rsidRDefault="00796CB9" w:rsidP="00796CB9">
      <w:pPr>
        <w:rPr>
          <w:b/>
          <w:sz w:val="24"/>
          <w:szCs w:val="24"/>
        </w:rPr>
      </w:pPr>
      <w:r>
        <w:rPr>
          <w:b/>
          <w:sz w:val="24"/>
          <w:szCs w:val="24"/>
        </w:rPr>
        <w:t>191/11, section 7 – Training</w:t>
      </w:r>
      <w:r w:rsidR="00A22239">
        <w:rPr>
          <w:b/>
          <w:sz w:val="24"/>
          <w:szCs w:val="24"/>
        </w:rPr>
        <w:t xml:space="preserve"> (2014)</w:t>
      </w:r>
    </w:p>
    <w:p w14:paraId="5F80B2B6" w14:textId="6A22679C" w:rsidR="00473DE9" w:rsidRDefault="00473DE9" w:rsidP="003C14DC">
      <w:pPr>
        <w:pStyle w:val="ListParagraph"/>
        <w:numPr>
          <w:ilvl w:val="0"/>
          <w:numId w:val="11"/>
        </w:numPr>
        <w:rPr>
          <w:sz w:val="24"/>
          <w:szCs w:val="24"/>
        </w:rPr>
      </w:pPr>
      <w:r>
        <w:rPr>
          <w:sz w:val="24"/>
          <w:szCs w:val="24"/>
        </w:rPr>
        <w:t xml:space="preserve">AODA Training Suite approved by </w:t>
      </w:r>
      <w:r w:rsidRPr="00B76219">
        <w:rPr>
          <w:sz w:val="24"/>
          <w:szCs w:val="24"/>
        </w:rPr>
        <w:t xml:space="preserve">VPOC </w:t>
      </w:r>
      <w:r w:rsidR="00847E88" w:rsidRPr="00B76219">
        <w:rPr>
          <w:sz w:val="24"/>
          <w:szCs w:val="24"/>
        </w:rPr>
        <w:t>July 21, 2013</w:t>
      </w:r>
      <w:r>
        <w:rPr>
          <w:sz w:val="24"/>
          <w:szCs w:val="24"/>
        </w:rPr>
        <w:t xml:space="preserve"> and can be found </w:t>
      </w:r>
      <w:hyperlink r:id="rId30" w:history="1">
        <w:r w:rsidRPr="00311F03">
          <w:rPr>
            <w:rStyle w:val="Hyperlink"/>
            <w:sz w:val="24"/>
            <w:szCs w:val="24"/>
          </w:rPr>
          <w:t>here</w:t>
        </w:r>
      </w:hyperlink>
      <w:r>
        <w:rPr>
          <w:sz w:val="24"/>
          <w:szCs w:val="24"/>
        </w:rPr>
        <w:t>.</w:t>
      </w:r>
      <w:r w:rsidR="00311F03">
        <w:rPr>
          <w:sz w:val="24"/>
          <w:szCs w:val="24"/>
        </w:rPr>
        <w:t xml:space="preserve"> The AODA Training Suite consists of four modules:</w:t>
      </w:r>
    </w:p>
    <w:p w14:paraId="6754D20C" w14:textId="77777777" w:rsidR="00311F03" w:rsidRDefault="00311F03" w:rsidP="003C14DC">
      <w:pPr>
        <w:pStyle w:val="ListParagraph"/>
        <w:numPr>
          <w:ilvl w:val="1"/>
          <w:numId w:val="11"/>
        </w:numPr>
        <w:rPr>
          <w:sz w:val="24"/>
          <w:szCs w:val="24"/>
        </w:rPr>
      </w:pPr>
      <w:r w:rsidRPr="00311F03">
        <w:rPr>
          <w:sz w:val="24"/>
          <w:szCs w:val="24"/>
        </w:rPr>
        <w:t xml:space="preserve">Accessible Customer Service </w:t>
      </w:r>
    </w:p>
    <w:p w14:paraId="3C0AFFB6" w14:textId="77777777" w:rsidR="00311F03" w:rsidRDefault="00311F03" w:rsidP="003C14DC">
      <w:pPr>
        <w:pStyle w:val="ListParagraph"/>
        <w:numPr>
          <w:ilvl w:val="1"/>
          <w:numId w:val="11"/>
        </w:numPr>
        <w:rPr>
          <w:sz w:val="24"/>
          <w:szCs w:val="24"/>
        </w:rPr>
      </w:pPr>
      <w:r>
        <w:rPr>
          <w:sz w:val="24"/>
          <w:szCs w:val="24"/>
        </w:rPr>
        <w:t>Accessible Instruction for Educators</w:t>
      </w:r>
    </w:p>
    <w:p w14:paraId="0D00AB6F" w14:textId="77777777" w:rsidR="00311F03" w:rsidRDefault="00311F03" w:rsidP="003C14DC">
      <w:pPr>
        <w:pStyle w:val="ListParagraph"/>
        <w:numPr>
          <w:ilvl w:val="1"/>
          <w:numId w:val="11"/>
        </w:numPr>
        <w:rPr>
          <w:sz w:val="24"/>
          <w:szCs w:val="24"/>
        </w:rPr>
      </w:pPr>
      <w:r>
        <w:rPr>
          <w:sz w:val="24"/>
          <w:szCs w:val="24"/>
        </w:rPr>
        <w:t>Human Rights</w:t>
      </w:r>
    </w:p>
    <w:p w14:paraId="6DBD6B48" w14:textId="77777777" w:rsidR="00311F03" w:rsidRDefault="00311F03" w:rsidP="003C14DC">
      <w:pPr>
        <w:pStyle w:val="ListParagraph"/>
        <w:numPr>
          <w:ilvl w:val="1"/>
          <w:numId w:val="11"/>
        </w:numPr>
        <w:rPr>
          <w:sz w:val="24"/>
          <w:szCs w:val="24"/>
        </w:rPr>
      </w:pPr>
      <w:r>
        <w:rPr>
          <w:sz w:val="24"/>
          <w:szCs w:val="24"/>
        </w:rPr>
        <w:t>Access Forward (training specifically related to Regulation 191/11)</w:t>
      </w:r>
    </w:p>
    <w:p w14:paraId="16C99E92" w14:textId="77777777" w:rsidR="00A22239" w:rsidRDefault="00A22239" w:rsidP="003C14DC">
      <w:pPr>
        <w:pStyle w:val="ListParagraph"/>
        <w:numPr>
          <w:ilvl w:val="0"/>
          <w:numId w:val="11"/>
        </w:numPr>
        <w:rPr>
          <w:sz w:val="24"/>
          <w:szCs w:val="24"/>
        </w:rPr>
      </w:pPr>
      <w:r>
        <w:rPr>
          <w:sz w:val="24"/>
          <w:szCs w:val="24"/>
        </w:rPr>
        <w:t>Training is provided online, face-to-face, and in booklet form, as appropriate.</w:t>
      </w:r>
    </w:p>
    <w:p w14:paraId="4FD512CA" w14:textId="77777777" w:rsidR="00A22239" w:rsidRDefault="00A22239" w:rsidP="003C14DC">
      <w:pPr>
        <w:pStyle w:val="ListParagraph"/>
        <w:numPr>
          <w:ilvl w:val="0"/>
          <w:numId w:val="11"/>
        </w:numPr>
        <w:rPr>
          <w:sz w:val="24"/>
          <w:szCs w:val="24"/>
        </w:rPr>
      </w:pPr>
      <w:r>
        <w:rPr>
          <w:sz w:val="24"/>
          <w:szCs w:val="24"/>
        </w:rPr>
        <w:lastRenderedPageBreak/>
        <w:t>An Equity Advisor has consulted with every faculty and unit on campus in order to increase awareness and answer questions pertaining to each faculty and units’ responsibilities concerning training compliance</w:t>
      </w:r>
    </w:p>
    <w:p w14:paraId="3C3EC1B9" w14:textId="2304CBAA" w:rsidR="00A22239" w:rsidRDefault="00A22239" w:rsidP="003C14DC">
      <w:pPr>
        <w:pStyle w:val="ListParagraph"/>
        <w:numPr>
          <w:ilvl w:val="0"/>
          <w:numId w:val="11"/>
        </w:numPr>
        <w:rPr>
          <w:sz w:val="24"/>
          <w:szCs w:val="24"/>
        </w:rPr>
      </w:pPr>
      <w:r>
        <w:rPr>
          <w:sz w:val="24"/>
          <w:szCs w:val="24"/>
        </w:rPr>
        <w:t xml:space="preserve">The Equity Office </w:t>
      </w:r>
      <w:r w:rsidR="00847E88">
        <w:rPr>
          <w:sz w:val="24"/>
          <w:szCs w:val="24"/>
        </w:rPr>
        <w:t xml:space="preserve">will </w:t>
      </w:r>
      <w:r>
        <w:rPr>
          <w:sz w:val="24"/>
          <w:szCs w:val="24"/>
        </w:rPr>
        <w:t xml:space="preserve">to track </w:t>
      </w:r>
      <w:r w:rsidR="00847E88">
        <w:rPr>
          <w:sz w:val="24"/>
          <w:szCs w:val="24"/>
        </w:rPr>
        <w:t xml:space="preserve">training completion </w:t>
      </w:r>
      <w:r>
        <w:rPr>
          <w:sz w:val="24"/>
          <w:szCs w:val="24"/>
        </w:rPr>
        <w:t>and keep records for compliance purposes</w:t>
      </w:r>
      <w:r w:rsidR="00323A5C">
        <w:rPr>
          <w:sz w:val="24"/>
          <w:szCs w:val="24"/>
        </w:rPr>
        <w:t xml:space="preserve">  and Quarterly Reports will be send to all units in May, August, November, and February</w:t>
      </w:r>
    </w:p>
    <w:p w14:paraId="4E9AB717" w14:textId="77777777" w:rsidR="00311F03" w:rsidRDefault="00311F03" w:rsidP="00311F03">
      <w:pPr>
        <w:pStyle w:val="Heading2"/>
      </w:pPr>
      <w:bookmarkStart w:id="12" w:name="_Toc392242962"/>
      <w:r>
        <w:t>Information and Communication Standards</w:t>
      </w:r>
      <w:bookmarkEnd w:id="12"/>
    </w:p>
    <w:p w14:paraId="206EC1E0" w14:textId="77777777" w:rsidR="00A22239" w:rsidRDefault="00A22239" w:rsidP="00A22239">
      <w:pPr>
        <w:rPr>
          <w:sz w:val="24"/>
          <w:szCs w:val="24"/>
        </w:rPr>
      </w:pPr>
      <w:r w:rsidRPr="0078510B">
        <w:rPr>
          <w:sz w:val="24"/>
          <w:szCs w:val="24"/>
        </w:rPr>
        <w:t>Communicating and providing</w:t>
      </w:r>
      <w:r>
        <w:rPr>
          <w:sz w:val="24"/>
          <w:szCs w:val="24"/>
        </w:rPr>
        <w:t xml:space="preserve"> information in ways that work for all is another cornerstone of building an accessible organization. </w:t>
      </w:r>
    </w:p>
    <w:p w14:paraId="54108404" w14:textId="77777777" w:rsidR="00311F03" w:rsidRDefault="00311F03" w:rsidP="00311F03">
      <w:pPr>
        <w:rPr>
          <w:b/>
          <w:sz w:val="24"/>
          <w:szCs w:val="24"/>
        </w:rPr>
      </w:pPr>
      <w:r w:rsidRPr="00311F03">
        <w:rPr>
          <w:b/>
          <w:sz w:val="24"/>
          <w:szCs w:val="24"/>
        </w:rPr>
        <w:t>191/11</w:t>
      </w:r>
      <w:r>
        <w:rPr>
          <w:b/>
          <w:sz w:val="24"/>
          <w:szCs w:val="24"/>
        </w:rPr>
        <w:t>, section 11 – Accessible formats for providing feedback</w:t>
      </w:r>
      <w:r w:rsidR="00EE7267">
        <w:rPr>
          <w:b/>
          <w:sz w:val="24"/>
          <w:szCs w:val="24"/>
        </w:rPr>
        <w:t xml:space="preserve"> (2014)</w:t>
      </w:r>
    </w:p>
    <w:p w14:paraId="18A57EE6" w14:textId="77777777" w:rsidR="0016092F" w:rsidRDefault="0016092F" w:rsidP="003C14DC">
      <w:pPr>
        <w:pStyle w:val="NormalWeb"/>
        <w:numPr>
          <w:ilvl w:val="0"/>
          <w:numId w:val="11"/>
        </w:numPr>
        <w:jc w:val="both"/>
        <w:rPr>
          <w:rFonts w:asciiTheme="minorHAnsi" w:hAnsiTheme="minorHAnsi" w:cstheme="minorHAnsi"/>
          <w:color w:val="000000"/>
        </w:rPr>
      </w:pPr>
      <w:r w:rsidRPr="0016092F">
        <w:rPr>
          <w:rFonts w:asciiTheme="minorHAnsi" w:hAnsiTheme="minorHAnsi" w:cstheme="minorHAnsi"/>
          <w:color w:val="000000"/>
        </w:rPr>
        <w:t xml:space="preserve">Queen's recognizes that feedback is critical to the process of identifying and removing barriers to participation as well as improving how we deliver our services to persons with disabilities.  The </w:t>
      </w:r>
      <w:hyperlink r:id="rId31" w:history="1">
        <w:r w:rsidRPr="0016092F">
          <w:rPr>
            <w:rStyle w:val="Hyperlink"/>
            <w:rFonts w:asciiTheme="minorHAnsi" w:hAnsiTheme="minorHAnsi" w:cstheme="minorHAnsi"/>
          </w:rPr>
          <w:t>Accessibility Feedback Online Form</w:t>
        </w:r>
      </w:hyperlink>
      <w:r w:rsidRPr="0016092F">
        <w:rPr>
          <w:rFonts w:asciiTheme="minorHAnsi" w:hAnsiTheme="minorHAnsi" w:cstheme="minorHAnsi"/>
          <w:color w:val="000000"/>
        </w:rPr>
        <w:t xml:space="preserve"> can be used to submit feedback about accessibility to the Equity Office.</w:t>
      </w:r>
    </w:p>
    <w:p w14:paraId="2001F12F" w14:textId="77777777" w:rsidR="0016092F" w:rsidRPr="0016092F" w:rsidRDefault="0016092F" w:rsidP="003C14DC">
      <w:pPr>
        <w:pStyle w:val="NormalWeb"/>
        <w:numPr>
          <w:ilvl w:val="0"/>
          <w:numId w:val="11"/>
        </w:numPr>
        <w:jc w:val="both"/>
        <w:rPr>
          <w:rFonts w:asciiTheme="minorHAnsi" w:hAnsiTheme="minorHAnsi" w:cstheme="minorHAnsi"/>
          <w:color w:val="000000"/>
        </w:rPr>
      </w:pPr>
      <w:r>
        <w:rPr>
          <w:rFonts w:asciiTheme="minorHAnsi" w:hAnsiTheme="minorHAnsi" w:cstheme="minorHAnsi"/>
          <w:color w:val="000000"/>
        </w:rPr>
        <w:t xml:space="preserve">Feedback may also be given by visiting the Accessibility Hub website found </w:t>
      </w:r>
      <w:hyperlink r:id="rId32" w:history="1">
        <w:r w:rsidRPr="0001077E">
          <w:rPr>
            <w:rStyle w:val="Hyperlink"/>
            <w:rFonts w:asciiTheme="minorHAnsi" w:hAnsiTheme="minorHAnsi" w:cstheme="minorHAnsi"/>
          </w:rPr>
          <w:t>here</w:t>
        </w:r>
      </w:hyperlink>
      <w:r>
        <w:rPr>
          <w:rFonts w:asciiTheme="minorHAnsi" w:hAnsiTheme="minorHAnsi" w:cstheme="minorHAnsi"/>
          <w:color w:val="000000"/>
        </w:rPr>
        <w:t>.</w:t>
      </w:r>
    </w:p>
    <w:p w14:paraId="058E5153" w14:textId="77777777" w:rsidR="0016092F" w:rsidRDefault="0016092F" w:rsidP="003C14DC">
      <w:pPr>
        <w:pStyle w:val="NormalWeb"/>
        <w:numPr>
          <w:ilvl w:val="0"/>
          <w:numId w:val="11"/>
        </w:numPr>
        <w:rPr>
          <w:rFonts w:asciiTheme="minorHAnsi" w:hAnsiTheme="minorHAnsi" w:cstheme="minorHAnsi"/>
          <w:color w:val="000000"/>
        </w:rPr>
      </w:pPr>
      <w:r w:rsidRPr="0016092F">
        <w:rPr>
          <w:rFonts w:asciiTheme="minorHAnsi" w:hAnsiTheme="minorHAnsi" w:cstheme="minorHAnsi"/>
          <w:color w:val="000000"/>
        </w:rPr>
        <w:t>Feedback may also be given by emailing the Equity Office at </w:t>
      </w:r>
      <w:hyperlink r:id="rId33" w:history="1">
        <w:r w:rsidRPr="0016092F">
          <w:rPr>
            <w:rStyle w:val="Hyperlink"/>
            <w:rFonts w:asciiTheme="minorHAnsi" w:hAnsiTheme="minorHAnsi" w:cstheme="minorHAnsi"/>
          </w:rPr>
          <w:t>equity@queensu.ca</w:t>
        </w:r>
      </w:hyperlink>
      <w:r w:rsidRPr="0016092F">
        <w:rPr>
          <w:rFonts w:asciiTheme="minorHAnsi" w:hAnsiTheme="minorHAnsi" w:cstheme="minorHAnsi"/>
          <w:color w:val="000000"/>
        </w:rPr>
        <w:t xml:space="preserve">, by telephone at (613) 533-2563, or by fax at (613) 533-2031. </w:t>
      </w:r>
    </w:p>
    <w:p w14:paraId="3FD287F0" w14:textId="77777777" w:rsidR="0016092F" w:rsidRDefault="0016092F" w:rsidP="003C14DC">
      <w:pPr>
        <w:pStyle w:val="NormalWeb"/>
        <w:numPr>
          <w:ilvl w:val="0"/>
          <w:numId w:val="11"/>
        </w:numPr>
        <w:rPr>
          <w:rFonts w:asciiTheme="minorHAnsi" w:hAnsiTheme="minorHAnsi" w:cstheme="minorHAnsi"/>
          <w:color w:val="000000"/>
        </w:rPr>
      </w:pPr>
      <w:r>
        <w:rPr>
          <w:rFonts w:asciiTheme="minorHAnsi" w:hAnsiTheme="minorHAnsi" w:cstheme="minorHAnsi"/>
          <w:color w:val="000000"/>
        </w:rPr>
        <w:t xml:space="preserve">Feedback may also be given </w:t>
      </w:r>
      <w:r w:rsidRPr="0016092F">
        <w:rPr>
          <w:rFonts w:asciiTheme="minorHAnsi" w:hAnsiTheme="minorHAnsi" w:cstheme="minorHAnsi"/>
          <w:color w:val="000000"/>
        </w:rPr>
        <w:t xml:space="preserve">via regular mail: </w:t>
      </w:r>
    </w:p>
    <w:p w14:paraId="0AB5D12A" w14:textId="77777777" w:rsidR="0016092F" w:rsidRPr="0016092F" w:rsidRDefault="0016092F" w:rsidP="0016092F">
      <w:pPr>
        <w:pStyle w:val="NormalWeb"/>
        <w:ind w:left="720"/>
        <w:rPr>
          <w:rFonts w:asciiTheme="minorHAnsi" w:hAnsiTheme="minorHAnsi" w:cstheme="minorHAnsi"/>
          <w:color w:val="000000"/>
        </w:rPr>
      </w:pPr>
      <w:r w:rsidRPr="0016092F">
        <w:rPr>
          <w:rFonts w:asciiTheme="minorHAnsi" w:hAnsiTheme="minorHAnsi" w:cstheme="minorHAnsi"/>
          <w:color w:val="000000"/>
        </w:rPr>
        <w:t>Equity Office</w:t>
      </w:r>
      <w:r w:rsidRPr="0016092F">
        <w:rPr>
          <w:rFonts w:asciiTheme="minorHAnsi" w:hAnsiTheme="minorHAnsi" w:cstheme="minorHAnsi"/>
          <w:color w:val="000000"/>
        </w:rPr>
        <w:br/>
        <w:t>Queen's University</w:t>
      </w:r>
      <w:r w:rsidRPr="0016092F">
        <w:rPr>
          <w:rFonts w:asciiTheme="minorHAnsi" w:hAnsiTheme="minorHAnsi" w:cstheme="minorHAnsi"/>
          <w:color w:val="000000"/>
        </w:rPr>
        <w:br/>
        <w:t>Mackintosh-Corry Hall, Room B511</w:t>
      </w:r>
      <w:r w:rsidRPr="0016092F">
        <w:rPr>
          <w:rFonts w:asciiTheme="minorHAnsi" w:hAnsiTheme="minorHAnsi" w:cstheme="minorHAnsi"/>
          <w:color w:val="000000"/>
        </w:rPr>
        <w:br/>
        <w:t>99 University Avenue</w:t>
      </w:r>
      <w:r w:rsidRPr="0016092F">
        <w:rPr>
          <w:rFonts w:asciiTheme="minorHAnsi" w:hAnsiTheme="minorHAnsi" w:cstheme="minorHAnsi"/>
          <w:color w:val="000000"/>
        </w:rPr>
        <w:br/>
        <w:t>Kingston, ON, K7L 3N6</w:t>
      </w:r>
    </w:p>
    <w:p w14:paraId="7C25FCF7" w14:textId="77777777" w:rsidR="00311F03" w:rsidRDefault="0001077E" w:rsidP="0016092F">
      <w:pPr>
        <w:rPr>
          <w:b/>
          <w:sz w:val="24"/>
          <w:szCs w:val="24"/>
        </w:rPr>
      </w:pPr>
      <w:r w:rsidRPr="00D41FA2">
        <w:rPr>
          <w:b/>
          <w:sz w:val="24"/>
          <w:szCs w:val="24"/>
        </w:rPr>
        <w:t xml:space="preserve">191/11, section 14 </w:t>
      </w:r>
      <w:r w:rsidR="00E230E5" w:rsidRPr="00D41FA2">
        <w:rPr>
          <w:b/>
          <w:sz w:val="24"/>
          <w:szCs w:val="24"/>
        </w:rPr>
        <w:t>–</w:t>
      </w:r>
      <w:r w:rsidRPr="00D41FA2">
        <w:rPr>
          <w:b/>
          <w:sz w:val="24"/>
          <w:szCs w:val="24"/>
        </w:rPr>
        <w:t xml:space="preserve"> </w:t>
      </w:r>
      <w:r w:rsidR="00E230E5" w:rsidRPr="00D41FA2">
        <w:rPr>
          <w:b/>
          <w:sz w:val="24"/>
          <w:szCs w:val="24"/>
        </w:rPr>
        <w:t>Websites conforms to Web Content Accessibility Guidelines – WCAG 2.0 Level A</w:t>
      </w:r>
      <w:r w:rsidRPr="00D41FA2">
        <w:rPr>
          <w:b/>
          <w:sz w:val="24"/>
          <w:szCs w:val="24"/>
        </w:rPr>
        <w:t xml:space="preserve"> (2014)</w:t>
      </w:r>
    </w:p>
    <w:p w14:paraId="6F2B9255" w14:textId="77777777" w:rsidR="00E230E5" w:rsidRPr="00E230E5" w:rsidRDefault="00E230E5" w:rsidP="003C14DC">
      <w:pPr>
        <w:pStyle w:val="ListParagraph"/>
        <w:numPr>
          <w:ilvl w:val="0"/>
          <w:numId w:val="12"/>
        </w:numPr>
        <w:rPr>
          <w:b/>
          <w:sz w:val="24"/>
          <w:szCs w:val="24"/>
        </w:rPr>
      </w:pPr>
      <w:r>
        <w:rPr>
          <w:sz w:val="24"/>
          <w:szCs w:val="24"/>
        </w:rPr>
        <w:t>ITS purchased one-year subscription to Siteimprove</w:t>
      </w:r>
      <w:r w:rsidR="001A7025">
        <w:rPr>
          <w:sz w:val="24"/>
          <w:szCs w:val="24"/>
        </w:rPr>
        <w:t xml:space="preserve"> and managed a project</w:t>
      </w:r>
      <w:r>
        <w:rPr>
          <w:sz w:val="24"/>
          <w:szCs w:val="24"/>
        </w:rPr>
        <w:t xml:space="preserve"> to gauge AODA web compliance readiness</w:t>
      </w:r>
    </w:p>
    <w:p w14:paraId="7599C4E8" w14:textId="77777777" w:rsidR="00E230E5" w:rsidRPr="00E230E5" w:rsidRDefault="00E230E5" w:rsidP="003C14DC">
      <w:pPr>
        <w:pStyle w:val="ListParagraph"/>
        <w:numPr>
          <w:ilvl w:val="0"/>
          <w:numId w:val="12"/>
        </w:numPr>
        <w:rPr>
          <w:b/>
          <w:sz w:val="24"/>
          <w:szCs w:val="24"/>
        </w:rPr>
      </w:pPr>
      <w:r>
        <w:rPr>
          <w:sz w:val="24"/>
          <w:szCs w:val="24"/>
        </w:rPr>
        <w:t>Several Siteimprove training sessions delivered</w:t>
      </w:r>
    </w:p>
    <w:p w14:paraId="2723E634" w14:textId="77777777" w:rsidR="00E230E5" w:rsidRPr="00E230E5" w:rsidRDefault="00E230E5" w:rsidP="003C14DC">
      <w:pPr>
        <w:pStyle w:val="ListParagraph"/>
        <w:numPr>
          <w:ilvl w:val="0"/>
          <w:numId w:val="12"/>
        </w:numPr>
        <w:rPr>
          <w:b/>
          <w:sz w:val="24"/>
          <w:szCs w:val="24"/>
        </w:rPr>
      </w:pPr>
      <w:r>
        <w:rPr>
          <w:sz w:val="24"/>
          <w:szCs w:val="24"/>
        </w:rPr>
        <w:t>It is estimated that to date, 95% of Queen’s websites</w:t>
      </w:r>
      <w:r w:rsidR="003C498D">
        <w:rPr>
          <w:sz w:val="24"/>
          <w:szCs w:val="24"/>
        </w:rPr>
        <w:t xml:space="preserve"> have been</w:t>
      </w:r>
      <w:r>
        <w:rPr>
          <w:sz w:val="24"/>
          <w:szCs w:val="24"/>
        </w:rPr>
        <w:t xml:space="preserve"> identified, </w:t>
      </w:r>
      <w:r w:rsidR="003C498D">
        <w:rPr>
          <w:sz w:val="24"/>
          <w:szCs w:val="24"/>
        </w:rPr>
        <w:t xml:space="preserve">and </w:t>
      </w:r>
      <w:r>
        <w:rPr>
          <w:sz w:val="24"/>
          <w:szCs w:val="24"/>
        </w:rPr>
        <w:t xml:space="preserve"> approximately 60% of owners </w:t>
      </w:r>
      <w:r w:rsidR="003C498D">
        <w:rPr>
          <w:sz w:val="24"/>
          <w:szCs w:val="24"/>
        </w:rPr>
        <w:t>have requested</w:t>
      </w:r>
      <w:r>
        <w:rPr>
          <w:sz w:val="24"/>
          <w:szCs w:val="24"/>
        </w:rPr>
        <w:t xml:space="preserve">  Siteimprove reports</w:t>
      </w:r>
    </w:p>
    <w:p w14:paraId="27431E5A" w14:textId="77777777" w:rsidR="00E230E5" w:rsidRPr="009F5D9C" w:rsidRDefault="00EE7267" w:rsidP="003C14DC">
      <w:pPr>
        <w:pStyle w:val="ListParagraph"/>
        <w:numPr>
          <w:ilvl w:val="0"/>
          <w:numId w:val="12"/>
        </w:numPr>
        <w:rPr>
          <w:color w:val="FF0000"/>
          <w:sz w:val="24"/>
          <w:szCs w:val="24"/>
        </w:rPr>
      </w:pPr>
      <w:r w:rsidRPr="009F5D9C">
        <w:rPr>
          <w:color w:val="FF0000"/>
          <w:sz w:val="24"/>
          <w:szCs w:val="24"/>
        </w:rPr>
        <w:t>Queen’s approaching compliance</w:t>
      </w:r>
      <w:r w:rsidR="001A7025">
        <w:rPr>
          <w:color w:val="FF0000"/>
          <w:sz w:val="24"/>
          <w:szCs w:val="24"/>
        </w:rPr>
        <w:t>; further plans are in development</w:t>
      </w:r>
      <w:r w:rsidRPr="009F5D9C">
        <w:rPr>
          <w:color w:val="FF0000"/>
          <w:sz w:val="24"/>
          <w:szCs w:val="24"/>
        </w:rPr>
        <w:t xml:space="preserve"> ensure</w:t>
      </w:r>
      <w:r w:rsidR="001A7025">
        <w:rPr>
          <w:color w:val="FF0000"/>
          <w:sz w:val="24"/>
          <w:szCs w:val="24"/>
        </w:rPr>
        <w:t xml:space="preserve"> ongoing</w:t>
      </w:r>
      <w:r w:rsidRPr="009F5D9C">
        <w:rPr>
          <w:color w:val="FF0000"/>
          <w:sz w:val="24"/>
          <w:szCs w:val="24"/>
        </w:rPr>
        <w:t xml:space="preserve"> success</w:t>
      </w:r>
    </w:p>
    <w:p w14:paraId="54F024C8" w14:textId="77777777" w:rsidR="00EE7267" w:rsidRDefault="00EE7267" w:rsidP="00EE7267">
      <w:pPr>
        <w:rPr>
          <w:b/>
          <w:sz w:val="24"/>
          <w:szCs w:val="24"/>
        </w:rPr>
      </w:pPr>
      <w:r w:rsidRPr="00EE7267">
        <w:rPr>
          <w:b/>
          <w:sz w:val="24"/>
          <w:szCs w:val="24"/>
        </w:rPr>
        <w:t xml:space="preserve">191/11, section 15 – </w:t>
      </w:r>
      <w:r>
        <w:rPr>
          <w:b/>
          <w:sz w:val="24"/>
          <w:szCs w:val="24"/>
        </w:rPr>
        <w:t>Accessible e</w:t>
      </w:r>
      <w:r w:rsidRPr="00EE7267">
        <w:rPr>
          <w:b/>
          <w:sz w:val="24"/>
          <w:szCs w:val="24"/>
        </w:rPr>
        <w:t>ducational and training resources</w:t>
      </w:r>
      <w:r>
        <w:rPr>
          <w:b/>
          <w:sz w:val="24"/>
          <w:szCs w:val="24"/>
        </w:rPr>
        <w:t>, including student records (2013)</w:t>
      </w:r>
    </w:p>
    <w:p w14:paraId="1BBFEE71" w14:textId="77777777" w:rsidR="00D3156A" w:rsidRDefault="00D3156A" w:rsidP="003C14DC">
      <w:pPr>
        <w:pStyle w:val="ListParagraph"/>
        <w:numPr>
          <w:ilvl w:val="0"/>
          <w:numId w:val="13"/>
        </w:numPr>
        <w:rPr>
          <w:sz w:val="24"/>
          <w:szCs w:val="24"/>
        </w:rPr>
      </w:pPr>
      <w:r>
        <w:rPr>
          <w:sz w:val="24"/>
          <w:szCs w:val="24"/>
        </w:rPr>
        <w:t>Accessibility Hub provided additional support, with service units, for ensuring educational or training resources or materials in an accessible format</w:t>
      </w:r>
    </w:p>
    <w:p w14:paraId="2D2B1A1A" w14:textId="77777777" w:rsidR="00D3156A" w:rsidRDefault="00D3156A" w:rsidP="00D3156A">
      <w:pPr>
        <w:pStyle w:val="ListParagraph"/>
        <w:numPr>
          <w:ilvl w:val="0"/>
          <w:numId w:val="13"/>
        </w:numPr>
        <w:rPr>
          <w:sz w:val="24"/>
          <w:szCs w:val="24"/>
        </w:rPr>
      </w:pPr>
      <w:r>
        <w:rPr>
          <w:sz w:val="24"/>
          <w:szCs w:val="24"/>
        </w:rPr>
        <w:lastRenderedPageBreak/>
        <w:t>Accessibility Hub provided additional support, with service units, for ensuring student records and information on program requirements, availability and descriptions  in an accessible format</w:t>
      </w:r>
    </w:p>
    <w:p w14:paraId="699521FF" w14:textId="77777777" w:rsidR="00EE7267" w:rsidRDefault="00C7542D" w:rsidP="003C14DC">
      <w:pPr>
        <w:pStyle w:val="ListParagraph"/>
        <w:numPr>
          <w:ilvl w:val="0"/>
          <w:numId w:val="13"/>
        </w:numPr>
        <w:rPr>
          <w:sz w:val="24"/>
          <w:szCs w:val="24"/>
        </w:rPr>
      </w:pPr>
      <w:r>
        <w:rPr>
          <w:sz w:val="24"/>
          <w:szCs w:val="24"/>
        </w:rPr>
        <w:t xml:space="preserve">Accessibility Statement approved by VPOC and adopted by the Office of the Registrar and other appropriate Units, the statement can be found </w:t>
      </w:r>
      <w:hyperlink r:id="rId34" w:history="1">
        <w:r w:rsidRPr="00C7542D">
          <w:rPr>
            <w:rStyle w:val="Hyperlink"/>
            <w:sz w:val="24"/>
            <w:szCs w:val="24"/>
          </w:rPr>
          <w:t>here</w:t>
        </w:r>
      </w:hyperlink>
      <w:r>
        <w:rPr>
          <w:sz w:val="24"/>
          <w:szCs w:val="24"/>
        </w:rPr>
        <w:t>.</w:t>
      </w:r>
    </w:p>
    <w:p w14:paraId="19462994" w14:textId="77777777" w:rsidR="00C7542D" w:rsidRDefault="00C7542D" w:rsidP="00C7542D">
      <w:pPr>
        <w:rPr>
          <w:sz w:val="24"/>
          <w:szCs w:val="24"/>
        </w:rPr>
      </w:pPr>
      <w:r>
        <w:rPr>
          <w:b/>
          <w:sz w:val="24"/>
          <w:szCs w:val="24"/>
        </w:rPr>
        <w:t>191/11, section 16 – Training to Educators</w:t>
      </w:r>
      <w:r w:rsidR="009F5D9C">
        <w:rPr>
          <w:b/>
          <w:sz w:val="24"/>
          <w:szCs w:val="24"/>
        </w:rPr>
        <w:t xml:space="preserve"> (2014)</w:t>
      </w:r>
    </w:p>
    <w:p w14:paraId="33B5C27F" w14:textId="77777777" w:rsidR="00C7542D" w:rsidRDefault="00C7542D" w:rsidP="003C14DC">
      <w:pPr>
        <w:pStyle w:val="ListParagraph"/>
        <w:numPr>
          <w:ilvl w:val="0"/>
          <w:numId w:val="13"/>
        </w:numPr>
        <w:rPr>
          <w:sz w:val="24"/>
          <w:szCs w:val="24"/>
        </w:rPr>
      </w:pPr>
      <w:r>
        <w:rPr>
          <w:sz w:val="24"/>
          <w:szCs w:val="24"/>
        </w:rPr>
        <w:t>See section 7 above.</w:t>
      </w:r>
    </w:p>
    <w:p w14:paraId="5EF350A9" w14:textId="77777777" w:rsidR="00C7542D" w:rsidRPr="00C7542D" w:rsidRDefault="00C7542D" w:rsidP="00C7542D">
      <w:pPr>
        <w:pStyle w:val="Heading2"/>
      </w:pPr>
      <w:bookmarkStart w:id="13" w:name="_Toc392242963"/>
      <w:r>
        <w:t>Employment Standards</w:t>
      </w:r>
      <w:bookmarkEnd w:id="13"/>
    </w:p>
    <w:p w14:paraId="376A4B05" w14:textId="77777777" w:rsidR="00C7542D" w:rsidRDefault="00C7542D" w:rsidP="00C7542D">
      <w:pPr>
        <w:rPr>
          <w:sz w:val="24"/>
          <w:szCs w:val="24"/>
        </w:rPr>
      </w:pPr>
      <w:r w:rsidRPr="006478E2">
        <w:rPr>
          <w:sz w:val="24"/>
          <w:szCs w:val="24"/>
        </w:rPr>
        <w:t>The process of finding, getting and keeping a job must be inclusive and accessible in order to build an engaged and effective workforce at Queen’s.</w:t>
      </w:r>
    </w:p>
    <w:p w14:paraId="03CCE0AD" w14:textId="715587FE" w:rsidR="00F437E8" w:rsidRPr="00F437E8" w:rsidRDefault="00F437E8" w:rsidP="003C14DC">
      <w:pPr>
        <w:pStyle w:val="ListParagraph"/>
        <w:numPr>
          <w:ilvl w:val="0"/>
          <w:numId w:val="13"/>
        </w:numPr>
        <w:rPr>
          <w:sz w:val="24"/>
          <w:szCs w:val="24"/>
        </w:rPr>
      </w:pPr>
      <w:r>
        <w:rPr>
          <w:sz w:val="24"/>
          <w:szCs w:val="24"/>
        </w:rPr>
        <w:t xml:space="preserve">Human Resources and the Equity Office provided face-to-face training sessions for all </w:t>
      </w:r>
      <w:r w:rsidR="00D41FA2">
        <w:rPr>
          <w:sz w:val="24"/>
          <w:szCs w:val="24"/>
        </w:rPr>
        <w:t xml:space="preserve">faculty </w:t>
      </w:r>
      <w:r>
        <w:rPr>
          <w:sz w:val="24"/>
          <w:szCs w:val="24"/>
        </w:rPr>
        <w:t>staffing officers</w:t>
      </w:r>
      <w:r w:rsidR="00D41FA2">
        <w:rPr>
          <w:sz w:val="24"/>
          <w:szCs w:val="24"/>
        </w:rPr>
        <w:t xml:space="preserve"> responsible for academic hiring, concerning</w:t>
      </w:r>
      <w:r>
        <w:rPr>
          <w:sz w:val="24"/>
          <w:szCs w:val="24"/>
        </w:rPr>
        <w:t xml:space="preserve"> the requirements below.</w:t>
      </w:r>
    </w:p>
    <w:p w14:paraId="65D408DD" w14:textId="77777777" w:rsidR="009F5D9C" w:rsidRDefault="009F5D9C" w:rsidP="00C7542D">
      <w:pPr>
        <w:rPr>
          <w:b/>
          <w:sz w:val="24"/>
          <w:szCs w:val="24"/>
        </w:rPr>
      </w:pPr>
      <w:r>
        <w:rPr>
          <w:b/>
          <w:sz w:val="24"/>
          <w:szCs w:val="24"/>
        </w:rPr>
        <w:t>191/11, section 22 – Notify about availability of accommodations in recruitment process (2014)</w:t>
      </w:r>
    </w:p>
    <w:p w14:paraId="1264F316" w14:textId="794F0692" w:rsidR="009F5D9C" w:rsidRDefault="00D41FA2" w:rsidP="003C14DC">
      <w:pPr>
        <w:pStyle w:val="ListParagraph"/>
        <w:numPr>
          <w:ilvl w:val="0"/>
          <w:numId w:val="13"/>
        </w:numPr>
        <w:rPr>
          <w:sz w:val="24"/>
          <w:szCs w:val="24"/>
        </w:rPr>
      </w:pPr>
      <w:r>
        <w:rPr>
          <w:sz w:val="24"/>
          <w:szCs w:val="24"/>
        </w:rPr>
        <w:t xml:space="preserve">Careers </w:t>
      </w:r>
      <w:r w:rsidR="0029557D">
        <w:rPr>
          <w:sz w:val="24"/>
          <w:szCs w:val="24"/>
        </w:rPr>
        <w:t>web page updated to include statement of availability of accessibility accommodations in recruitment process</w:t>
      </w:r>
    </w:p>
    <w:p w14:paraId="45CE3C94" w14:textId="77777777" w:rsidR="0029557D" w:rsidRDefault="0029557D" w:rsidP="0029557D">
      <w:pPr>
        <w:rPr>
          <w:b/>
          <w:sz w:val="24"/>
          <w:szCs w:val="24"/>
        </w:rPr>
      </w:pPr>
      <w:r>
        <w:rPr>
          <w:b/>
          <w:sz w:val="24"/>
          <w:szCs w:val="24"/>
        </w:rPr>
        <w:t>191/11, section 23 – Notify applicants of accommodations available during assessment and selection process (2014)</w:t>
      </w:r>
    </w:p>
    <w:p w14:paraId="13F6CC57" w14:textId="67BBF89C" w:rsidR="00F437E8" w:rsidRDefault="00D41FA2" w:rsidP="003C14DC">
      <w:pPr>
        <w:pStyle w:val="ListParagraph"/>
        <w:numPr>
          <w:ilvl w:val="0"/>
          <w:numId w:val="13"/>
        </w:numPr>
        <w:rPr>
          <w:sz w:val="24"/>
          <w:szCs w:val="24"/>
        </w:rPr>
      </w:pPr>
      <w:r>
        <w:rPr>
          <w:sz w:val="24"/>
          <w:szCs w:val="24"/>
        </w:rPr>
        <w:t xml:space="preserve">Careers </w:t>
      </w:r>
      <w:r w:rsidR="00F437E8">
        <w:rPr>
          <w:sz w:val="24"/>
          <w:szCs w:val="24"/>
        </w:rPr>
        <w:t>web page updated to include statement of availability of accessibility accommodations in interview process</w:t>
      </w:r>
    </w:p>
    <w:p w14:paraId="7E09DF86" w14:textId="77777777" w:rsidR="00F437E8" w:rsidRDefault="00F437E8" w:rsidP="00F437E8">
      <w:pPr>
        <w:rPr>
          <w:sz w:val="24"/>
          <w:szCs w:val="24"/>
        </w:rPr>
      </w:pPr>
      <w:r>
        <w:rPr>
          <w:b/>
          <w:sz w:val="24"/>
          <w:szCs w:val="24"/>
        </w:rPr>
        <w:t>191/11, section 24 – Notify successful applicants of policies for accommodating employees with disabilities (2014)</w:t>
      </w:r>
    </w:p>
    <w:p w14:paraId="5BD1012D" w14:textId="77777777" w:rsidR="00F437E8" w:rsidRDefault="00F437E8" w:rsidP="003C14DC">
      <w:pPr>
        <w:pStyle w:val="ListParagraph"/>
        <w:numPr>
          <w:ilvl w:val="0"/>
          <w:numId w:val="13"/>
        </w:numPr>
        <w:rPr>
          <w:sz w:val="24"/>
          <w:szCs w:val="24"/>
        </w:rPr>
      </w:pPr>
      <w:r>
        <w:rPr>
          <w:sz w:val="24"/>
          <w:szCs w:val="24"/>
        </w:rPr>
        <w:t>Statement of availability of accessibility accommodations added to letter of offer</w:t>
      </w:r>
    </w:p>
    <w:p w14:paraId="7C2711F5" w14:textId="77777777" w:rsidR="00F437E8" w:rsidRDefault="00F437E8" w:rsidP="00F437E8">
      <w:pPr>
        <w:rPr>
          <w:b/>
          <w:sz w:val="24"/>
          <w:szCs w:val="24"/>
        </w:rPr>
      </w:pPr>
      <w:r>
        <w:rPr>
          <w:b/>
          <w:sz w:val="24"/>
          <w:szCs w:val="24"/>
        </w:rPr>
        <w:t>191/11, section 25 – Inform employees of policies to support employees with disabilities (2014)</w:t>
      </w:r>
    </w:p>
    <w:p w14:paraId="01E8D274" w14:textId="1DF13F72" w:rsidR="00F437E8" w:rsidRDefault="00D41FA2" w:rsidP="003C14DC">
      <w:pPr>
        <w:pStyle w:val="ListParagraph"/>
        <w:numPr>
          <w:ilvl w:val="0"/>
          <w:numId w:val="13"/>
        </w:numPr>
        <w:rPr>
          <w:sz w:val="24"/>
          <w:szCs w:val="24"/>
        </w:rPr>
      </w:pPr>
      <w:r>
        <w:rPr>
          <w:sz w:val="24"/>
          <w:szCs w:val="24"/>
        </w:rPr>
        <w:t xml:space="preserve">Orientation toolkit </w:t>
      </w:r>
      <w:r w:rsidR="00DA4590">
        <w:rPr>
          <w:sz w:val="24"/>
          <w:szCs w:val="24"/>
        </w:rPr>
        <w:t>includes information about policies to support employees with disabilities</w:t>
      </w:r>
    </w:p>
    <w:p w14:paraId="5BDE55B9" w14:textId="77777777" w:rsidR="00DA4590" w:rsidRDefault="00DA4590" w:rsidP="00DA4590">
      <w:pPr>
        <w:rPr>
          <w:b/>
          <w:sz w:val="24"/>
          <w:szCs w:val="24"/>
        </w:rPr>
      </w:pPr>
      <w:r>
        <w:rPr>
          <w:b/>
          <w:sz w:val="24"/>
          <w:szCs w:val="24"/>
        </w:rPr>
        <w:t>191/11, section 26 – Provide alternate formats for workplace information, upon request (2014)</w:t>
      </w:r>
    </w:p>
    <w:p w14:paraId="7B8B9324" w14:textId="77777777" w:rsidR="00DA4590" w:rsidRDefault="00DA4590" w:rsidP="003C14DC">
      <w:pPr>
        <w:pStyle w:val="ListParagraph"/>
        <w:numPr>
          <w:ilvl w:val="0"/>
          <w:numId w:val="13"/>
        </w:numPr>
        <w:rPr>
          <w:sz w:val="24"/>
          <w:szCs w:val="24"/>
        </w:rPr>
      </w:pPr>
      <w:r>
        <w:rPr>
          <w:sz w:val="24"/>
          <w:szCs w:val="24"/>
        </w:rPr>
        <w:t>Accessible formats and communication supports provided to employees on an on-going basis.</w:t>
      </w:r>
    </w:p>
    <w:p w14:paraId="3498C35D" w14:textId="77777777" w:rsidR="00DA4590" w:rsidRDefault="00DA4590" w:rsidP="00DA4590">
      <w:pPr>
        <w:rPr>
          <w:b/>
          <w:sz w:val="24"/>
          <w:szCs w:val="24"/>
        </w:rPr>
      </w:pPr>
      <w:r>
        <w:rPr>
          <w:b/>
          <w:sz w:val="24"/>
          <w:szCs w:val="24"/>
        </w:rPr>
        <w:t>191/11, section 28 – Develop written process for documented individual accommodation plans (2014)</w:t>
      </w:r>
    </w:p>
    <w:p w14:paraId="638BA737" w14:textId="77777777" w:rsidR="00DA4590" w:rsidRDefault="00E01FB1" w:rsidP="003C14DC">
      <w:pPr>
        <w:pStyle w:val="ListParagraph"/>
        <w:numPr>
          <w:ilvl w:val="0"/>
          <w:numId w:val="13"/>
        </w:numPr>
        <w:rPr>
          <w:sz w:val="24"/>
          <w:szCs w:val="24"/>
        </w:rPr>
      </w:pPr>
      <w:r>
        <w:rPr>
          <w:sz w:val="24"/>
          <w:szCs w:val="24"/>
        </w:rPr>
        <w:t>The following policies, procedures, and guidelines have been drafted and are pending Policy Advisory Subcommittee (PASC) endorsement, university consultation and VPOC approval</w:t>
      </w:r>
    </w:p>
    <w:p w14:paraId="7F9AE06A" w14:textId="77777777" w:rsidR="00E01FB1" w:rsidRDefault="00E01FB1" w:rsidP="003C14DC">
      <w:pPr>
        <w:pStyle w:val="ListParagraph"/>
        <w:numPr>
          <w:ilvl w:val="1"/>
          <w:numId w:val="13"/>
        </w:numPr>
        <w:rPr>
          <w:sz w:val="24"/>
          <w:szCs w:val="24"/>
        </w:rPr>
      </w:pPr>
      <w:r>
        <w:rPr>
          <w:sz w:val="24"/>
          <w:szCs w:val="24"/>
        </w:rPr>
        <w:t xml:space="preserve">Accommodation of Disabilities in the Workplace Policy </w:t>
      </w:r>
    </w:p>
    <w:p w14:paraId="73A030E0" w14:textId="77777777" w:rsidR="00E01FB1" w:rsidRDefault="00E01FB1" w:rsidP="003C14DC">
      <w:pPr>
        <w:pStyle w:val="ListParagraph"/>
        <w:numPr>
          <w:ilvl w:val="1"/>
          <w:numId w:val="13"/>
        </w:numPr>
        <w:rPr>
          <w:sz w:val="24"/>
          <w:szCs w:val="24"/>
        </w:rPr>
      </w:pPr>
      <w:r>
        <w:rPr>
          <w:sz w:val="24"/>
          <w:szCs w:val="24"/>
        </w:rPr>
        <w:lastRenderedPageBreak/>
        <w:t>Individualized Disability Accommodation Procedures</w:t>
      </w:r>
    </w:p>
    <w:p w14:paraId="637FF0A4" w14:textId="77777777" w:rsidR="00E01FB1" w:rsidRDefault="00E01FB1" w:rsidP="003C14DC">
      <w:pPr>
        <w:pStyle w:val="ListParagraph"/>
        <w:numPr>
          <w:ilvl w:val="1"/>
          <w:numId w:val="13"/>
        </w:numPr>
        <w:rPr>
          <w:sz w:val="24"/>
          <w:szCs w:val="24"/>
        </w:rPr>
      </w:pPr>
      <w:r>
        <w:rPr>
          <w:sz w:val="24"/>
          <w:szCs w:val="24"/>
        </w:rPr>
        <w:t>Disability Accommodation Guidelines</w:t>
      </w:r>
    </w:p>
    <w:p w14:paraId="3E3FB9BE" w14:textId="77777777" w:rsidR="00E01FB1" w:rsidRDefault="00E01FB1" w:rsidP="003C14DC">
      <w:pPr>
        <w:pStyle w:val="ListParagraph"/>
        <w:numPr>
          <w:ilvl w:val="0"/>
          <w:numId w:val="13"/>
        </w:numPr>
        <w:rPr>
          <w:color w:val="FF0000"/>
          <w:sz w:val="24"/>
          <w:szCs w:val="24"/>
        </w:rPr>
      </w:pPr>
      <w:r w:rsidRPr="00E01FB1">
        <w:rPr>
          <w:color w:val="FF0000"/>
          <w:sz w:val="24"/>
          <w:szCs w:val="24"/>
        </w:rPr>
        <w:t>It is anticipated that these policies, procedures, and guidelines</w:t>
      </w:r>
      <w:r>
        <w:rPr>
          <w:color w:val="FF0000"/>
          <w:sz w:val="24"/>
          <w:szCs w:val="24"/>
        </w:rPr>
        <w:t xml:space="preserve"> will go to PASC September 2014</w:t>
      </w:r>
    </w:p>
    <w:p w14:paraId="2DC572A9" w14:textId="77777777" w:rsidR="00E01FB1" w:rsidRDefault="00E01FB1" w:rsidP="00E01FB1">
      <w:pPr>
        <w:rPr>
          <w:b/>
          <w:sz w:val="24"/>
          <w:szCs w:val="24"/>
        </w:rPr>
      </w:pPr>
      <w:r>
        <w:rPr>
          <w:b/>
          <w:sz w:val="24"/>
          <w:szCs w:val="24"/>
        </w:rPr>
        <w:t>191/11, section 29 – Develop written process for return to work process (2014)</w:t>
      </w:r>
    </w:p>
    <w:p w14:paraId="0ACC7F8F" w14:textId="77777777" w:rsidR="00E01FB1" w:rsidRDefault="00E01FB1" w:rsidP="003C14DC">
      <w:pPr>
        <w:pStyle w:val="ListParagraph"/>
        <w:numPr>
          <w:ilvl w:val="0"/>
          <w:numId w:val="13"/>
        </w:numPr>
        <w:rPr>
          <w:sz w:val="24"/>
          <w:szCs w:val="24"/>
        </w:rPr>
      </w:pPr>
      <w:r>
        <w:rPr>
          <w:sz w:val="24"/>
          <w:szCs w:val="24"/>
        </w:rPr>
        <w:t>A Return to Work Policy has been drafted and is pending Policy Advisory Subcommittee (PASC) endorsement, university consultation and VPOC approval</w:t>
      </w:r>
    </w:p>
    <w:p w14:paraId="62465355" w14:textId="77777777" w:rsidR="00E01FB1" w:rsidRDefault="00E01FB1" w:rsidP="003C14DC">
      <w:pPr>
        <w:pStyle w:val="ListParagraph"/>
        <w:numPr>
          <w:ilvl w:val="0"/>
          <w:numId w:val="13"/>
        </w:numPr>
        <w:rPr>
          <w:color w:val="FF0000"/>
          <w:sz w:val="24"/>
          <w:szCs w:val="24"/>
        </w:rPr>
      </w:pPr>
      <w:r w:rsidRPr="00E01FB1">
        <w:rPr>
          <w:color w:val="FF0000"/>
          <w:sz w:val="24"/>
          <w:szCs w:val="24"/>
        </w:rPr>
        <w:t>It is anticipated that these policies, procedures, and guidelines</w:t>
      </w:r>
      <w:r>
        <w:rPr>
          <w:color w:val="FF0000"/>
          <w:sz w:val="24"/>
          <w:szCs w:val="24"/>
        </w:rPr>
        <w:t xml:space="preserve"> will go to PASC September 2014</w:t>
      </w:r>
    </w:p>
    <w:p w14:paraId="3EF7E189" w14:textId="77777777" w:rsidR="00E01FB1" w:rsidRDefault="00E01FB1" w:rsidP="00E01FB1">
      <w:pPr>
        <w:rPr>
          <w:b/>
          <w:sz w:val="24"/>
          <w:szCs w:val="24"/>
        </w:rPr>
      </w:pPr>
      <w:r>
        <w:rPr>
          <w:b/>
          <w:sz w:val="24"/>
          <w:szCs w:val="24"/>
        </w:rPr>
        <w:t>191/11, sections 30, 31, 32 –</w:t>
      </w:r>
      <w:r w:rsidR="00CA064B">
        <w:rPr>
          <w:b/>
          <w:sz w:val="24"/>
          <w:szCs w:val="24"/>
        </w:rPr>
        <w:t xml:space="preserve"> Accessibility considerations in p</w:t>
      </w:r>
      <w:r>
        <w:rPr>
          <w:b/>
          <w:sz w:val="24"/>
          <w:szCs w:val="24"/>
        </w:rPr>
        <w:t xml:space="preserve">erformance </w:t>
      </w:r>
      <w:r w:rsidR="00CA064B">
        <w:rPr>
          <w:b/>
          <w:sz w:val="24"/>
          <w:szCs w:val="24"/>
        </w:rPr>
        <w:t>m</w:t>
      </w:r>
      <w:r>
        <w:rPr>
          <w:b/>
          <w:sz w:val="24"/>
          <w:szCs w:val="24"/>
        </w:rPr>
        <w:t>anagement</w:t>
      </w:r>
      <w:r w:rsidR="00CA064B">
        <w:rPr>
          <w:b/>
          <w:sz w:val="24"/>
          <w:szCs w:val="24"/>
        </w:rPr>
        <w:t>, career development and advancement, redeployment (2014)</w:t>
      </w:r>
    </w:p>
    <w:p w14:paraId="46940FB3" w14:textId="77777777" w:rsidR="00CA064B" w:rsidRPr="00CA064B" w:rsidRDefault="00CA064B" w:rsidP="003C14DC">
      <w:pPr>
        <w:pStyle w:val="ListParagraph"/>
        <w:numPr>
          <w:ilvl w:val="0"/>
          <w:numId w:val="15"/>
        </w:numPr>
        <w:rPr>
          <w:b/>
          <w:sz w:val="24"/>
          <w:szCs w:val="24"/>
        </w:rPr>
      </w:pPr>
      <w:r>
        <w:rPr>
          <w:sz w:val="24"/>
          <w:szCs w:val="24"/>
        </w:rPr>
        <w:t>Staffing Officers</w:t>
      </w:r>
      <w:bookmarkStart w:id="14" w:name="_GoBack"/>
      <w:bookmarkEnd w:id="14"/>
      <w:r>
        <w:rPr>
          <w:sz w:val="24"/>
          <w:szCs w:val="24"/>
        </w:rPr>
        <w:t xml:space="preserve"> are aware of these requirements by having had the face-to-face training referred to above.</w:t>
      </w:r>
    </w:p>
    <w:p w14:paraId="392B1215" w14:textId="77777777" w:rsidR="00CA064B" w:rsidRPr="00CA064B" w:rsidRDefault="00CA064B" w:rsidP="003C14DC">
      <w:pPr>
        <w:pStyle w:val="ListParagraph"/>
        <w:numPr>
          <w:ilvl w:val="0"/>
          <w:numId w:val="14"/>
        </w:numPr>
        <w:rPr>
          <w:color w:val="FF0000"/>
          <w:sz w:val="24"/>
          <w:szCs w:val="24"/>
        </w:rPr>
      </w:pPr>
      <w:r>
        <w:rPr>
          <w:color w:val="FF0000"/>
          <w:sz w:val="24"/>
          <w:szCs w:val="24"/>
        </w:rPr>
        <w:t>Formal communication concerning these requirements are pending approval of the Accommodation of Disabilities in the Workplace Policy</w:t>
      </w:r>
    </w:p>
    <w:p w14:paraId="4461711E" w14:textId="77777777" w:rsidR="007C18B1" w:rsidRPr="009F0E4B" w:rsidRDefault="007C18B1" w:rsidP="007C18B1">
      <w:pPr>
        <w:pStyle w:val="Heading1"/>
        <w:rPr>
          <w:rFonts w:asciiTheme="minorHAnsi" w:hAnsiTheme="minorHAnsi" w:cstheme="minorHAnsi"/>
        </w:rPr>
      </w:pPr>
      <w:bookmarkStart w:id="15" w:name="_Toc392242964"/>
      <w:r>
        <w:rPr>
          <w:rFonts w:asciiTheme="minorHAnsi" w:hAnsiTheme="minorHAnsi" w:cstheme="minorHAnsi"/>
        </w:rPr>
        <w:t>Section Three: Status Update – Year 1 (2013/2014) – Exceeding AODA Requirements</w:t>
      </w:r>
      <w:bookmarkEnd w:id="15"/>
      <w:r>
        <w:rPr>
          <w:rFonts w:asciiTheme="minorHAnsi" w:hAnsiTheme="minorHAnsi" w:cstheme="minorHAnsi"/>
        </w:rPr>
        <w:t xml:space="preserve"> </w:t>
      </w:r>
    </w:p>
    <w:p w14:paraId="693D5C4B" w14:textId="4B1BC477" w:rsidR="00796CB9" w:rsidRPr="00C7542D" w:rsidRDefault="007C18B1" w:rsidP="00C7542D">
      <w:pPr>
        <w:rPr>
          <w:b/>
          <w:sz w:val="24"/>
          <w:szCs w:val="24"/>
        </w:rPr>
      </w:pPr>
      <w:r w:rsidRPr="009F0E4B">
        <w:rPr>
          <w:rFonts w:cstheme="minorHAnsi"/>
          <w:sz w:val="24"/>
          <w:szCs w:val="24"/>
        </w:rPr>
        <w:t xml:space="preserve">Queen’s strives to improve its ability to consult, engage, listen, and reframe accessibility issues so that the results work better </w:t>
      </w:r>
      <w:r w:rsidR="0081457B">
        <w:rPr>
          <w:rFonts w:cstheme="minorHAnsi"/>
          <w:sz w:val="24"/>
          <w:szCs w:val="24"/>
        </w:rPr>
        <w:t xml:space="preserve">to </w:t>
      </w:r>
      <w:r w:rsidRPr="009F0E4B">
        <w:rPr>
          <w:rFonts w:cstheme="minorHAnsi"/>
          <w:sz w:val="24"/>
          <w:szCs w:val="24"/>
        </w:rPr>
        <w:t>meet the expectations and needs of persons with disabilities.</w:t>
      </w:r>
      <w:r w:rsidR="00B95164">
        <w:rPr>
          <w:rFonts w:cstheme="minorHAnsi"/>
          <w:sz w:val="24"/>
          <w:szCs w:val="24"/>
        </w:rPr>
        <w:t xml:space="preserve"> We continually seek new ways to engage with persons with disabilities concerning how Queen’s might best ensure </w:t>
      </w:r>
      <w:r w:rsidR="00657CCC">
        <w:rPr>
          <w:rFonts w:cstheme="minorHAnsi"/>
          <w:sz w:val="24"/>
          <w:szCs w:val="24"/>
        </w:rPr>
        <w:t>everyone’s</w:t>
      </w:r>
      <w:r w:rsidR="00B95164">
        <w:rPr>
          <w:rFonts w:cstheme="minorHAnsi"/>
          <w:sz w:val="24"/>
          <w:szCs w:val="24"/>
        </w:rPr>
        <w:t xml:space="preserve"> full participation</w:t>
      </w:r>
      <w:r w:rsidR="00657CCC">
        <w:rPr>
          <w:rFonts w:cstheme="minorHAnsi"/>
          <w:sz w:val="24"/>
          <w:szCs w:val="24"/>
        </w:rPr>
        <w:t>.</w:t>
      </w:r>
      <w:r w:rsidR="00B95164">
        <w:rPr>
          <w:rFonts w:cstheme="minorHAnsi"/>
          <w:sz w:val="24"/>
          <w:szCs w:val="24"/>
        </w:rPr>
        <w:t xml:space="preserve"> </w:t>
      </w:r>
      <w:r w:rsidR="003909D3">
        <w:rPr>
          <w:rFonts w:cstheme="minorHAnsi"/>
          <w:sz w:val="24"/>
          <w:szCs w:val="24"/>
        </w:rPr>
        <w:t>Below outlines some accessibility achievements that exceed AODA requirements.</w:t>
      </w:r>
    </w:p>
    <w:p w14:paraId="720AA5A0" w14:textId="77777777" w:rsidR="00863173" w:rsidRDefault="00863173" w:rsidP="00863173">
      <w:pPr>
        <w:pStyle w:val="Heading2"/>
      </w:pPr>
      <w:bookmarkStart w:id="16" w:name="_Toc392242965"/>
      <w:r>
        <w:t>Accessibility Café Series</w:t>
      </w:r>
      <w:bookmarkEnd w:id="16"/>
    </w:p>
    <w:p w14:paraId="1D80D90C" w14:textId="77777777" w:rsidR="00863173" w:rsidRDefault="00863173" w:rsidP="00863173">
      <w:pPr>
        <w:pStyle w:val="NormalWeb"/>
        <w:spacing w:line="276" w:lineRule="auto"/>
        <w:rPr>
          <w:rFonts w:asciiTheme="minorHAnsi" w:hAnsiTheme="minorHAnsi"/>
        </w:rPr>
      </w:pPr>
      <w:r w:rsidRPr="00863173">
        <w:rPr>
          <w:rFonts w:asciiTheme="minorHAnsi" w:hAnsiTheme="minorHAnsi"/>
        </w:rPr>
        <w:t xml:space="preserve">Accessibility Cafés are a chance for the Queen’s community to get together to discuss building an inclusive and accessible Queen’s community that follows the requirements of the </w:t>
      </w:r>
      <w:r w:rsidR="0078448A">
        <w:rPr>
          <w:rFonts w:asciiTheme="minorHAnsi" w:hAnsiTheme="minorHAnsi"/>
        </w:rPr>
        <w:t>AODA</w:t>
      </w:r>
      <w:r w:rsidRPr="00863173">
        <w:rPr>
          <w:rFonts w:asciiTheme="minorHAnsi" w:hAnsiTheme="minorHAnsi"/>
        </w:rPr>
        <w:t xml:space="preserve">. Each Café has </w:t>
      </w:r>
      <w:r w:rsidR="0078448A" w:rsidRPr="00863173">
        <w:rPr>
          <w:rFonts w:asciiTheme="minorHAnsi" w:hAnsiTheme="minorHAnsi"/>
        </w:rPr>
        <w:t>a</w:t>
      </w:r>
      <w:r w:rsidRPr="00863173">
        <w:rPr>
          <w:rFonts w:asciiTheme="minorHAnsi" w:hAnsiTheme="minorHAnsi"/>
        </w:rPr>
        <w:t xml:space="preserve"> unique topic and all participants are encouraged to share their perspectives and generate ideas. How can we improve upon what Queen’s is doing already towards imagining and then building an even stronger inclusive and accessible Queen’s community?</w:t>
      </w:r>
    </w:p>
    <w:p w14:paraId="731366D1" w14:textId="77777777" w:rsidR="001726A0" w:rsidRDefault="001726A0" w:rsidP="003C14DC">
      <w:pPr>
        <w:pStyle w:val="NormalWeb"/>
        <w:numPr>
          <w:ilvl w:val="0"/>
          <w:numId w:val="16"/>
        </w:numPr>
        <w:spacing w:line="276" w:lineRule="auto"/>
        <w:rPr>
          <w:rFonts w:asciiTheme="minorHAnsi" w:hAnsiTheme="minorHAnsi"/>
        </w:rPr>
      </w:pPr>
      <w:r>
        <w:rPr>
          <w:rFonts w:asciiTheme="minorHAnsi" w:hAnsiTheme="minorHAnsi"/>
        </w:rPr>
        <w:t>October 9</w:t>
      </w:r>
      <w:r w:rsidRPr="001726A0">
        <w:rPr>
          <w:rFonts w:asciiTheme="minorHAnsi" w:hAnsiTheme="minorHAnsi"/>
          <w:vertAlign w:val="superscript"/>
        </w:rPr>
        <w:t>th</w:t>
      </w:r>
      <w:r>
        <w:rPr>
          <w:rFonts w:asciiTheme="minorHAnsi" w:hAnsiTheme="minorHAnsi"/>
        </w:rPr>
        <w:t xml:space="preserve">, 2013: </w:t>
      </w:r>
      <w:r w:rsidR="00735955">
        <w:rPr>
          <w:rFonts w:asciiTheme="minorHAnsi" w:hAnsiTheme="minorHAnsi"/>
        </w:rPr>
        <w:t xml:space="preserve">Feedback on the about to be launched Accessibility Hub – facilitated by Andrew Ashby, Accessibility Hub Coordinator, </w:t>
      </w:r>
      <w:r>
        <w:rPr>
          <w:rFonts w:asciiTheme="minorHAnsi" w:hAnsiTheme="minorHAnsi"/>
        </w:rPr>
        <w:t>at Stauffer Library</w:t>
      </w:r>
    </w:p>
    <w:p w14:paraId="4A5C4860" w14:textId="77777777" w:rsidR="001726A0" w:rsidRDefault="001726A0" w:rsidP="003C14DC">
      <w:pPr>
        <w:pStyle w:val="NormalWeb"/>
        <w:numPr>
          <w:ilvl w:val="0"/>
          <w:numId w:val="16"/>
        </w:numPr>
        <w:spacing w:line="276" w:lineRule="auto"/>
        <w:rPr>
          <w:rFonts w:asciiTheme="minorHAnsi" w:hAnsiTheme="minorHAnsi"/>
        </w:rPr>
      </w:pPr>
      <w:r>
        <w:rPr>
          <w:rFonts w:asciiTheme="minorHAnsi" w:hAnsiTheme="minorHAnsi"/>
        </w:rPr>
        <w:t>November 4</w:t>
      </w:r>
      <w:r w:rsidRPr="001726A0">
        <w:rPr>
          <w:rFonts w:asciiTheme="minorHAnsi" w:hAnsiTheme="minorHAnsi"/>
          <w:vertAlign w:val="superscript"/>
        </w:rPr>
        <w:t>th</w:t>
      </w:r>
      <w:r>
        <w:rPr>
          <w:rFonts w:asciiTheme="minorHAnsi" w:hAnsiTheme="minorHAnsi"/>
        </w:rPr>
        <w:t>, 2013:  Accessible Instruction for Educators</w:t>
      </w:r>
      <w:r w:rsidR="002B0ABB">
        <w:rPr>
          <w:rFonts w:asciiTheme="minorHAnsi" w:hAnsiTheme="minorHAnsi"/>
        </w:rPr>
        <w:t xml:space="preserve"> – facilitated by Heidi Penning, Equity Advisor,</w:t>
      </w:r>
      <w:r>
        <w:rPr>
          <w:rFonts w:asciiTheme="minorHAnsi" w:hAnsiTheme="minorHAnsi"/>
        </w:rPr>
        <w:t xml:space="preserve"> at West Campus</w:t>
      </w:r>
    </w:p>
    <w:p w14:paraId="51516CCE" w14:textId="77777777" w:rsidR="00D110BA" w:rsidRDefault="00D110BA" w:rsidP="003C14DC">
      <w:pPr>
        <w:pStyle w:val="NormalWeb"/>
        <w:numPr>
          <w:ilvl w:val="0"/>
          <w:numId w:val="16"/>
        </w:numPr>
        <w:spacing w:line="276" w:lineRule="auto"/>
        <w:rPr>
          <w:rFonts w:asciiTheme="minorHAnsi" w:hAnsiTheme="minorHAnsi"/>
        </w:rPr>
      </w:pPr>
      <w:r w:rsidRPr="001726A0">
        <w:rPr>
          <w:rFonts w:asciiTheme="minorHAnsi" w:hAnsiTheme="minorHAnsi"/>
        </w:rPr>
        <w:t>January 8</w:t>
      </w:r>
      <w:r w:rsidRPr="001726A0">
        <w:rPr>
          <w:rFonts w:asciiTheme="minorHAnsi" w:hAnsiTheme="minorHAnsi"/>
          <w:vertAlign w:val="superscript"/>
        </w:rPr>
        <w:t>th</w:t>
      </w:r>
      <w:r w:rsidRPr="001726A0">
        <w:rPr>
          <w:rFonts w:asciiTheme="minorHAnsi" w:hAnsiTheme="minorHAnsi"/>
        </w:rPr>
        <w:t xml:space="preserve">, 2014: </w:t>
      </w:r>
      <w:r w:rsidR="002B0ABB">
        <w:rPr>
          <w:rFonts w:asciiTheme="minorHAnsi" w:hAnsiTheme="minorHAnsi"/>
        </w:rPr>
        <w:t xml:space="preserve">Reimagining the International Symbol of Access – facilitated by Heidi Penning, Equity Advisor, </w:t>
      </w:r>
      <w:r w:rsidR="001726A0">
        <w:rPr>
          <w:rFonts w:asciiTheme="minorHAnsi" w:hAnsiTheme="minorHAnsi"/>
        </w:rPr>
        <w:t>at Student Life Center</w:t>
      </w:r>
    </w:p>
    <w:p w14:paraId="3BC80430" w14:textId="77777777" w:rsidR="001726A0" w:rsidRDefault="001726A0" w:rsidP="003C14DC">
      <w:pPr>
        <w:pStyle w:val="NormalWeb"/>
        <w:numPr>
          <w:ilvl w:val="0"/>
          <w:numId w:val="16"/>
        </w:numPr>
        <w:spacing w:line="276" w:lineRule="auto"/>
        <w:rPr>
          <w:rFonts w:asciiTheme="minorHAnsi" w:hAnsiTheme="minorHAnsi"/>
        </w:rPr>
      </w:pPr>
      <w:r>
        <w:rPr>
          <w:rFonts w:asciiTheme="minorHAnsi" w:hAnsiTheme="minorHAnsi"/>
        </w:rPr>
        <w:lastRenderedPageBreak/>
        <w:t>February 5</w:t>
      </w:r>
      <w:r w:rsidRPr="001726A0">
        <w:rPr>
          <w:rFonts w:asciiTheme="minorHAnsi" w:hAnsiTheme="minorHAnsi"/>
          <w:vertAlign w:val="superscript"/>
        </w:rPr>
        <w:t>th</w:t>
      </w:r>
      <w:r>
        <w:rPr>
          <w:rFonts w:asciiTheme="minorHAnsi" w:hAnsiTheme="minorHAnsi"/>
        </w:rPr>
        <w:t xml:space="preserve">, 2014: </w:t>
      </w:r>
      <w:r w:rsidR="002B0ABB">
        <w:rPr>
          <w:rFonts w:asciiTheme="minorHAnsi" w:hAnsiTheme="minorHAnsi"/>
        </w:rPr>
        <w:t xml:space="preserve">Facility Accessibility Design Standards at Queen’s University – facilitated by Rebecca Tan, SURP MA Candidate, </w:t>
      </w:r>
      <w:r>
        <w:rPr>
          <w:rFonts w:asciiTheme="minorHAnsi" w:hAnsiTheme="minorHAnsi"/>
        </w:rPr>
        <w:t>at Stauffer Library</w:t>
      </w:r>
    </w:p>
    <w:p w14:paraId="035567C1" w14:textId="034CF116" w:rsidR="001726A0" w:rsidRPr="001726A0" w:rsidRDefault="001726A0" w:rsidP="003C14DC">
      <w:pPr>
        <w:pStyle w:val="NormalWeb"/>
        <w:numPr>
          <w:ilvl w:val="0"/>
          <w:numId w:val="16"/>
        </w:numPr>
        <w:spacing w:line="276" w:lineRule="auto"/>
        <w:rPr>
          <w:rFonts w:asciiTheme="minorHAnsi" w:hAnsiTheme="minorHAnsi"/>
        </w:rPr>
      </w:pPr>
      <w:r>
        <w:rPr>
          <w:rFonts w:asciiTheme="minorHAnsi" w:hAnsiTheme="minorHAnsi"/>
        </w:rPr>
        <w:t>March 6</w:t>
      </w:r>
      <w:r w:rsidRPr="001726A0">
        <w:rPr>
          <w:rFonts w:asciiTheme="minorHAnsi" w:hAnsiTheme="minorHAnsi"/>
          <w:vertAlign w:val="superscript"/>
        </w:rPr>
        <w:t>th</w:t>
      </w:r>
      <w:r>
        <w:rPr>
          <w:rFonts w:asciiTheme="minorHAnsi" w:hAnsiTheme="minorHAnsi"/>
        </w:rPr>
        <w:t>, 2014</w:t>
      </w:r>
      <w:r w:rsidRPr="001726A0">
        <w:rPr>
          <w:rFonts w:asciiTheme="minorHAnsi" w:hAnsiTheme="minorHAnsi"/>
        </w:rPr>
        <w:t xml:space="preserve">: Residences – Designing in Accessibility – facilitated by Yvonne Holland, </w:t>
      </w:r>
      <w:r w:rsidR="0081457B">
        <w:rPr>
          <w:rFonts w:asciiTheme="minorHAnsi" w:hAnsiTheme="minorHAnsi"/>
        </w:rPr>
        <w:t xml:space="preserve">Manager, </w:t>
      </w:r>
      <w:r w:rsidRPr="001726A0">
        <w:rPr>
          <w:rFonts w:asciiTheme="minorHAnsi" w:hAnsiTheme="minorHAnsi"/>
        </w:rPr>
        <w:t>Campus Plann</w:t>
      </w:r>
      <w:r w:rsidR="0081457B">
        <w:rPr>
          <w:rFonts w:asciiTheme="minorHAnsi" w:hAnsiTheme="minorHAnsi"/>
        </w:rPr>
        <w:t>ing</w:t>
      </w:r>
      <w:r w:rsidR="002B0ABB">
        <w:rPr>
          <w:rFonts w:asciiTheme="minorHAnsi" w:hAnsiTheme="minorHAnsi"/>
        </w:rPr>
        <w:t>,</w:t>
      </w:r>
      <w:r w:rsidRPr="001726A0">
        <w:rPr>
          <w:rFonts w:asciiTheme="minorHAnsi" w:hAnsiTheme="minorHAnsi"/>
        </w:rPr>
        <w:t xml:space="preserve"> at Student Life Center</w:t>
      </w:r>
    </w:p>
    <w:p w14:paraId="7E7A0112" w14:textId="77777777" w:rsidR="0078448A" w:rsidRDefault="0078448A" w:rsidP="0078448A">
      <w:pPr>
        <w:pStyle w:val="Heading2"/>
      </w:pPr>
      <w:bookmarkStart w:id="17" w:name="_Toc392242966"/>
      <w:r>
        <w:t>Accessibility Hub</w:t>
      </w:r>
      <w:bookmarkEnd w:id="17"/>
    </w:p>
    <w:p w14:paraId="298804F5" w14:textId="60A867DF" w:rsidR="003909D3" w:rsidRDefault="003909D3" w:rsidP="003C14DC">
      <w:pPr>
        <w:pStyle w:val="ListParagraph"/>
        <w:numPr>
          <w:ilvl w:val="0"/>
          <w:numId w:val="18"/>
        </w:numPr>
        <w:ind w:right="180"/>
        <w:jc w:val="both"/>
        <w:rPr>
          <w:rFonts w:cstheme="minorHAnsi"/>
          <w:sz w:val="24"/>
          <w:szCs w:val="24"/>
        </w:rPr>
      </w:pPr>
      <w:r>
        <w:rPr>
          <w:rFonts w:cstheme="minorHAnsi"/>
          <w:sz w:val="24"/>
          <w:szCs w:val="24"/>
        </w:rPr>
        <w:t xml:space="preserve">With </w:t>
      </w:r>
      <w:r w:rsidRPr="003909D3">
        <w:rPr>
          <w:rFonts w:cstheme="minorHAnsi"/>
          <w:sz w:val="24"/>
          <w:szCs w:val="24"/>
        </w:rPr>
        <w:t>VPOC</w:t>
      </w:r>
      <w:r w:rsidR="0081457B">
        <w:rPr>
          <w:rFonts w:cstheme="minorHAnsi"/>
          <w:sz w:val="24"/>
          <w:szCs w:val="24"/>
        </w:rPr>
        <w:t>’s</w:t>
      </w:r>
      <w:r w:rsidRPr="003909D3">
        <w:rPr>
          <w:rFonts w:cstheme="minorHAnsi"/>
          <w:sz w:val="24"/>
          <w:szCs w:val="24"/>
        </w:rPr>
        <w:t xml:space="preserve"> approv</w:t>
      </w:r>
      <w:r>
        <w:rPr>
          <w:rFonts w:cstheme="minorHAnsi"/>
          <w:sz w:val="24"/>
          <w:szCs w:val="24"/>
        </w:rPr>
        <w:t>al, this project commenced</w:t>
      </w:r>
      <w:r w:rsidRPr="003909D3">
        <w:rPr>
          <w:rFonts w:cstheme="minorHAnsi"/>
          <w:sz w:val="24"/>
          <w:szCs w:val="24"/>
        </w:rPr>
        <w:t xml:space="preserve"> May 1, 2013 </w:t>
      </w:r>
      <w:r>
        <w:rPr>
          <w:rFonts w:cstheme="minorHAnsi"/>
          <w:sz w:val="24"/>
          <w:szCs w:val="24"/>
        </w:rPr>
        <w:t xml:space="preserve">and the </w:t>
      </w:r>
      <w:hyperlink r:id="rId35" w:history="1">
        <w:r w:rsidRPr="003909D3">
          <w:rPr>
            <w:rStyle w:val="Hyperlink"/>
            <w:rFonts w:cstheme="minorHAnsi"/>
            <w:sz w:val="24"/>
            <w:szCs w:val="24"/>
          </w:rPr>
          <w:t>Accessibility Hub</w:t>
        </w:r>
      </w:hyperlink>
      <w:r>
        <w:rPr>
          <w:rFonts w:cstheme="minorHAnsi"/>
          <w:sz w:val="24"/>
          <w:szCs w:val="24"/>
        </w:rPr>
        <w:t xml:space="preserve"> was officially launched October 30</w:t>
      </w:r>
      <w:r w:rsidRPr="003909D3">
        <w:rPr>
          <w:rFonts w:cstheme="minorHAnsi"/>
          <w:sz w:val="24"/>
          <w:szCs w:val="24"/>
          <w:vertAlign w:val="superscript"/>
        </w:rPr>
        <w:t>th</w:t>
      </w:r>
      <w:r>
        <w:rPr>
          <w:rFonts w:cstheme="minorHAnsi"/>
          <w:sz w:val="24"/>
          <w:szCs w:val="24"/>
        </w:rPr>
        <w:t>, 2013 with much excitement and media attention!</w:t>
      </w:r>
    </w:p>
    <w:p w14:paraId="6232E752" w14:textId="77777777" w:rsidR="003909D3" w:rsidRDefault="003909D3" w:rsidP="003C14DC">
      <w:pPr>
        <w:pStyle w:val="ListParagraph"/>
        <w:numPr>
          <w:ilvl w:val="0"/>
          <w:numId w:val="18"/>
        </w:numPr>
        <w:ind w:right="180"/>
        <w:jc w:val="both"/>
        <w:rPr>
          <w:rFonts w:cstheme="minorHAnsi"/>
          <w:sz w:val="24"/>
          <w:szCs w:val="24"/>
        </w:rPr>
      </w:pPr>
      <w:r>
        <w:rPr>
          <w:rFonts w:cstheme="minorHAnsi"/>
          <w:sz w:val="24"/>
          <w:szCs w:val="24"/>
        </w:rPr>
        <w:t>A blue folder ACCESS Queen’s campaign was conducted to raise awareness about the Accessibility Hub and its resources; a blue folder went out to all faculty and staff.</w:t>
      </w:r>
    </w:p>
    <w:p w14:paraId="55E11718" w14:textId="70513C2B" w:rsidR="00567270" w:rsidRDefault="00567270" w:rsidP="003C14DC">
      <w:pPr>
        <w:pStyle w:val="ListParagraph"/>
        <w:numPr>
          <w:ilvl w:val="0"/>
          <w:numId w:val="18"/>
        </w:numPr>
        <w:ind w:right="180"/>
        <w:jc w:val="both"/>
        <w:rPr>
          <w:rFonts w:cstheme="minorHAnsi"/>
          <w:sz w:val="24"/>
          <w:szCs w:val="24"/>
        </w:rPr>
      </w:pPr>
      <w:r>
        <w:rPr>
          <w:rFonts w:cstheme="minorHAnsi"/>
          <w:sz w:val="24"/>
          <w:szCs w:val="24"/>
        </w:rPr>
        <w:t xml:space="preserve">Link to the Accessibility Hub has been placed in the footer of all Queen’s </w:t>
      </w:r>
      <w:r w:rsidR="008B5466" w:rsidRPr="008B5466">
        <w:rPr>
          <w:rFonts w:cstheme="minorHAnsi"/>
          <w:sz w:val="24"/>
          <w:szCs w:val="24"/>
        </w:rPr>
        <w:t>main</w:t>
      </w:r>
      <w:r w:rsidRPr="008B5466">
        <w:rPr>
          <w:rFonts w:cstheme="minorHAnsi"/>
          <w:sz w:val="24"/>
          <w:szCs w:val="24"/>
        </w:rPr>
        <w:t xml:space="preserve"> pages</w:t>
      </w:r>
    </w:p>
    <w:p w14:paraId="373FD98C" w14:textId="77777777" w:rsidR="00AF7C57" w:rsidRDefault="00AF7C57" w:rsidP="003C14DC">
      <w:pPr>
        <w:pStyle w:val="ListParagraph"/>
        <w:numPr>
          <w:ilvl w:val="0"/>
          <w:numId w:val="18"/>
        </w:numPr>
        <w:ind w:right="180"/>
        <w:jc w:val="both"/>
        <w:rPr>
          <w:rFonts w:cstheme="minorHAnsi"/>
          <w:sz w:val="24"/>
          <w:szCs w:val="24"/>
        </w:rPr>
      </w:pPr>
      <w:r>
        <w:rPr>
          <w:rFonts w:cstheme="minorHAnsi"/>
          <w:sz w:val="24"/>
          <w:szCs w:val="24"/>
        </w:rPr>
        <w:t>Accessibility Hub is on Twitter</w:t>
      </w:r>
    </w:p>
    <w:p w14:paraId="2789A3EE" w14:textId="77777777" w:rsidR="0078448A" w:rsidRPr="001726A0" w:rsidRDefault="0078448A" w:rsidP="0078448A">
      <w:pPr>
        <w:pStyle w:val="Heading2"/>
        <w:rPr>
          <w:sz w:val="24"/>
          <w:szCs w:val="24"/>
        </w:rPr>
      </w:pPr>
      <w:bookmarkStart w:id="18" w:name="_Toc392242967"/>
      <w:r>
        <w:t>Steve Cutway Accessibility Award</w:t>
      </w:r>
      <w:bookmarkEnd w:id="18"/>
    </w:p>
    <w:p w14:paraId="6662B3A8" w14:textId="77777777" w:rsidR="001726A0" w:rsidRPr="003909D3" w:rsidRDefault="00C314D5" w:rsidP="003C14DC">
      <w:pPr>
        <w:pStyle w:val="ListParagraph"/>
        <w:numPr>
          <w:ilvl w:val="0"/>
          <w:numId w:val="17"/>
        </w:numPr>
        <w:rPr>
          <w:sz w:val="24"/>
          <w:szCs w:val="24"/>
        </w:rPr>
      </w:pPr>
      <w:r w:rsidRPr="003909D3">
        <w:rPr>
          <w:sz w:val="24"/>
          <w:szCs w:val="24"/>
        </w:rPr>
        <w:t>Established in 2008, this award formally recognizes the outstanding contributions of faculty, staff and students towards advancing accessibility for persons with disabilities at Queen's University. </w:t>
      </w:r>
      <w:r w:rsidR="002B0ABB" w:rsidRPr="003909D3">
        <w:rPr>
          <w:sz w:val="24"/>
          <w:szCs w:val="24"/>
        </w:rPr>
        <w:t xml:space="preserve"> Andrew Ashby, Accessibility Hub Coordinator </w:t>
      </w:r>
      <w:r w:rsidRPr="003909D3">
        <w:rPr>
          <w:sz w:val="24"/>
          <w:szCs w:val="24"/>
        </w:rPr>
        <w:t>won</w:t>
      </w:r>
      <w:r w:rsidR="002B0ABB" w:rsidRPr="003909D3">
        <w:rPr>
          <w:sz w:val="24"/>
          <w:szCs w:val="24"/>
        </w:rPr>
        <w:t xml:space="preserve"> the</w:t>
      </w:r>
      <w:r w:rsidRPr="003909D3">
        <w:rPr>
          <w:sz w:val="24"/>
          <w:szCs w:val="24"/>
        </w:rPr>
        <w:t xml:space="preserve"> 2013</w:t>
      </w:r>
      <w:r w:rsidR="002B0ABB" w:rsidRPr="003909D3">
        <w:rPr>
          <w:sz w:val="24"/>
          <w:szCs w:val="24"/>
        </w:rPr>
        <w:t xml:space="preserve"> Steve Cutway Accessibility Award</w:t>
      </w:r>
    </w:p>
    <w:p w14:paraId="739317D5" w14:textId="77777777" w:rsidR="00472605" w:rsidRDefault="00472605" w:rsidP="00F237B2">
      <w:pPr>
        <w:pStyle w:val="Heading2"/>
      </w:pPr>
      <w:bookmarkStart w:id="19" w:name="_Toc392242968"/>
      <w:r>
        <w:t>Procurement</w:t>
      </w:r>
      <w:bookmarkEnd w:id="19"/>
    </w:p>
    <w:p w14:paraId="6D06447B" w14:textId="77777777" w:rsidR="00472605" w:rsidRPr="00472605" w:rsidRDefault="00472605" w:rsidP="00472605">
      <w:pPr>
        <w:pStyle w:val="ListParagraph"/>
        <w:numPr>
          <w:ilvl w:val="0"/>
          <w:numId w:val="17"/>
        </w:numPr>
        <w:rPr>
          <w:sz w:val="24"/>
          <w:szCs w:val="24"/>
        </w:rPr>
      </w:pPr>
      <w:r>
        <w:rPr>
          <w:sz w:val="24"/>
          <w:szCs w:val="24"/>
        </w:rPr>
        <w:t>Equity Advisor invited to act as Chair of the Council of Ontario Universities (COU) Procurement Committee, Queen’s Procurement  Specialist asked to participate, in recognition of Queen’s success in compliance in this area</w:t>
      </w:r>
    </w:p>
    <w:p w14:paraId="247E1780" w14:textId="77777777" w:rsidR="00F237B2" w:rsidRDefault="00F237B2" w:rsidP="00F237B2">
      <w:pPr>
        <w:pStyle w:val="Heading2"/>
      </w:pPr>
      <w:bookmarkStart w:id="20" w:name="_Toc392242969"/>
      <w:r>
        <w:t>Design of Public Space and the Built Environment</w:t>
      </w:r>
      <w:bookmarkEnd w:id="20"/>
    </w:p>
    <w:p w14:paraId="145843DF" w14:textId="77777777" w:rsidR="00F237B2" w:rsidRPr="006478E2" w:rsidRDefault="00F237B2" w:rsidP="00F237B2">
      <w:pPr>
        <w:rPr>
          <w:sz w:val="24"/>
          <w:szCs w:val="24"/>
        </w:rPr>
      </w:pPr>
      <w:r w:rsidRPr="006478E2">
        <w:rPr>
          <w:sz w:val="24"/>
          <w:szCs w:val="24"/>
        </w:rPr>
        <w:t>Queen’s is committed to greater accessibility into, out of, and around our facilities.</w:t>
      </w:r>
      <w:r>
        <w:rPr>
          <w:sz w:val="24"/>
          <w:szCs w:val="24"/>
        </w:rPr>
        <w:t xml:space="preserve"> Although the new amendments to the Ontario Building Code concerning accessibility do not come into force until 2015, and the Design of Public Space requirements do not come into force until 2016, Queen’s will have regard for these amendments and requirements for newly constructed or significantly renovated spaces, premises, and facilities prior to 2015. </w:t>
      </w:r>
    </w:p>
    <w:p w14:paraId="19308899" w14:textId="77777777" w:rsidR="00F237B2" w:rsidRPr="00454387" w:rsidRDefault="00F237B2" w:rsidP="00F237B2">
      <w:pPr>
        <w:pStyle w:val="ListParagraph"/>
        <w:numPr>
          <w:ilvl w:val="0"/>
          <w:numId w:val="14"/>
        </w:numPr>
        <w:jc w:val="both"/>
      </w:pPr>
      <w:r w:rsidRPr="00144A22">
        <w:rPr>
          <w:sz w:val="24"/>
          <w:szCs w:val="24"/>
        </w:rPr>
        <w:t xml:space="preserve">Single-user, accessible washroom near the main student street in Mackintosh-Corry Hall </w:t>
      </w:r>
      <w:r>
        <w:rPr>
          <w:sz w:val="24"/>
          <w:szCs w:val="24"/>
        </w:rPr>
        <w:t xml:space="preserve">has been </w:t>
      </w:r>
      <w:r w:rsidRPr="00144A22">
        <w:rPr>
          <w:sz w:val="24"/>
          <w:szCs w:val="24"/>
        </w:rPr>
        <w:t>completed.</w:t>
      </w:r>
    </w:p>
    <w:p w14:paraId="75F50D1A" w14:textId="77777777" w:rsidR="00F237B2" w:rsidRDefault="00F237B2" w:rsidP="00F237B2">
      <w:pPr>
        <w:pStyle w:val="NormalWeb"/>
        <w:numPr>
          <w:ilvl w:val="0"/>
          <w:numId w:val="14"/>
        </w:numPr>
        <w:shd w:val="clear" w:color="auto" w:fill="FFFFFF"/>
        <w:spacing w:before="0" w:beforeAutospacing="0" w:after="255" w:afterAutospacing="0"/>
        <w:jc w:val="both"/>
        <w:textAlignment w:val="baseline"/>
        <w:rPr>
          <w:rFonts w:asciiTheme="minorHAnsi" w:hAnsiTheme="minorHAnsi" w:cstheme="minorHAnsi"/>
          <w:color w:val="000000"/>
        </w:rPr>
      </w:pPr>
      <w:r w:rsidRPr="00454387">
        <w:rPr>
          <w:rFonts w:asciiTheme="minorHAnsi" w:hAnsiTheme="minorHAnsi" w:cstheme="minorHAnsi"/>
          <w:color w:val="000000"/>
        </w:rPr>
        <w:t xml:space="preserve">The new Campus Master Plan (CMP) </w:t>
      </w:r>
      <w:r>
        <w:rPr>
          <w:rFonts w:asciiTheme="minorHAnsi" w:hAnsiTheme="minorHAnsi" w:cstheme="minorHAnsi"/>
          <w:color w:val="000000"/>
        </w:rPr>
        <w:t>has</w:t>
      </w:r>
      <w:r w:rsidRPr="00454387">
        <w:rPr>
          <w:rFonts w:asciiTheme="minorHAnsi" w:hAnsiTheme="minorHAnsi" w:cstheme="minorHAnsi"/>
          <w:color w:val="000000"/>
        </w:rPr>
        <w:t xml:space="preserve"> establish</w:t>
      </w:r>
      <w:r>
        <w:rPr>
          <w:rFonts w:asciiTheme="minorHAnsi" w:hAnsiTheme="minorHAnsi" w:cstheme="minorHAnsi"/>
          <w:color w:val="000000"/>
        </w:rPr>
        <w:t>ed</w:t>
      </w:r>
      <w:r w:rsidRPr="00454387">
        <w:rPr>
          <w:rFonts w:asciiTheme="minorHAnsi" w:hAnsiTheme="minorHAnsi" w:cstheme="minorHAnsi"/>
          <w:color w:val="000000"/>
        </w:rPr>
        <w:t xml:space="preserve"> a vision and framework to guide how the university will physically change over the next 10 to 15 years</w:t>
      </w:r>
      <w:r>
        <w:rPr>
          <w:rFonts w:asciiTheme="minorHAnsi" w:hAnsiTheme="minorHAnsi" w:cstheme="minorHAnsi"/>
          <w:color w:val="000000"/>
        </w:rPr>
        <w:t>. Achieving barrier-free accessibility ensures usability by the broadest possible range of persons. The principles of universal design have been incorporated into space planning where recommended.</w:t>
      </w:r>
    </w:p>
    <w:p w14:paraId="55048F23" w14:textId="77777777" w:rsidR="00F237B2" w:rsidRDefault="00F237B2" w:rsidP="00F237B2">
      <w:pPr>
        <w:pStyle w:val="NormalWeb"/>
        <w:numPr>
          <w:ilvl w:val="0"/>
          <w:numId w:val="14"/>
        </w:numPr>
        <w:shd w:val="clear" w:color="auto" w:fill="FFFFFF"/>
        <w:spacing w:before="0" w:beforeAutospacing="0" w:after="255" w:afterAutospacing="0"/>
        <w:jc w:val="both"/>
        <w:textAlignment w:val="baseline"/>
        <w:rPr>
          <w:rFonts w:asciiTheme="minorHAnsi" w:hAnsiTheme="minorHAnsi" w:cstheme="minorHAnsi"/>
          <w:color w:val="000000"/>
        </w:rPr>
      </w:pPr>
      <w:r>
        <w:rPr>
          <w:rFonts w:asciiTheme="minorHAnsi" w:hAnsiTheme="minorHAnsi" w:cstheme="minorHAnsi"/>
          <w:color w:val="000000"/>
          <w:shd w:val="clear" w:color="auto" w:fill="FFFFFF"/>
        </w:rPr>
        <w:t>T</w:t>
      </w:r>
      <w:r w:rsidRPr="00454387">
        <w:rPr>
          <w:rFonts w:asciiTheme="minorHAnsi" w:hAnsiTheme="minorHAnsi" w:cstheme="minorHAnsi"/>
          <w:color w:val="000000"/>
          <w:shd w:val="clear" w:color="auto" w:fill="FFFFFF"/>
        </w:rPr>
        <w:t>he Library and Archives Master Plan (LAMP) project is integrated with the</w:t>
      </w:r>
      <w:r w:rsidRPr="00454387">
        <w:rPr>
          <w:rStyle w:val="apple-converted-space"/>
          <w:rFonts w:asciiTheme="minorHAnsi" w:hAnsiTheme="minorHAnsi" w:cstheme="minorHAnsi"/>
          <w:color w:val="000000"/>
          <w:shd w:val="clear" w:color="auto" w:fill="FFFFFF"/>
        </w:rPr>
        <w:t> </w:t>
      </w:r>
      <w:r w:rsidRPr="00CE6744">
        <w:rPr>
          <w:rFonts w:asciiTheme="minorHAnsi" w:hAnsiTheme="minorHAnsi" w:cstheme="minorHAnsi"/>
          <w:bdr w:val="none" w:sz="0" w:space="0" w:color="auto" w:frame="1"/>
          <w:shd w:val="clear" w:color="auto" w:fill="FFFFFF"/>
        </w:rPr>
        <w:t>C</w:t>
      </w:r>
      <w:r>
        <w:rPr>
          <w:rFonts w:asciiTheme="minorHAnsi" w:hAnsiTheme="minorHAnsi" w:cstheme="minorHAnsi"/>
          <w:bdr w:val="none" w:sz="0" w:space="0" w:color="auto" w:frame="1"/>
          <w:shd w:val="clear" w:color="auto" w:fill="FFFFFF"/>
        </w:rPr>
        <w:t>ampus Master Plan</w:t>
      </w:r>
      <w:r w:rsidRPr="00454387">
        <w:rPr>
          <w:rFonts w:asciiTheme="minorHAnsi" w:hAnsiTheme="minorHAnsi" w:cstheme="minorHAnsi"/>
          <w:color w:val="000000"/>
          <w:shd w:val="clear" w:color="auto" w:fill="FFFFFF"/>
        </w:rPr>
        <w:t>. LAMP provide</w:t>
      </w:r>
      <w:r>
        <w:rPr>
          <w:rFonts w:asciiTheme="minorHAnsi" w:hAnsiTheme="minorHAnsi" w:cstheme="minorHAnsi"/>
          <w:color w:val="000000"/>
          <w:shd w:val="clear" w:color="auto" w:fill="FFFFFF"/>
        </w:rPr>
        <w:t>s</w:t>
      </w:r>
      <w:r w:rsidRPr="00454387">
        <w:rPr>
          <w:rFonts w:asciiTheme="minorHAnsi" w:hAnsiTheme="minorHAnsi" w:cstheme="minorHAnsi"/>
          <w:color w:val="000000"/>
          <w:shd w:val="clear" w:color="auto" w:fill="FFFFFF"/>
        </w:rPr>
        <w:t xml:space="preserve"> high-level options and recommendations for the development of the Library’s and Archives’ facilities.</w:t>
      </w:r>
      <w:r>
        <w:rPr>
          <w:rFonts w:asciiTheme="minorHAnsi" w:hAnsiTheme="minorHAnsi" w:cstheme="minorHAnsi"/>
          <w:color w:val="000000"/>
          <w:shd w:val="clear" w:color="auto" w:fill="FFFFFF"/>
        </w:rPr>
        <w:t xml:space="preserve"> Again, </w:t>
      </w:r>
      <w:r>
        <w:rPr>
          <w:rFonts w:asciiTheme="minorHAnsi" w:hAnsiTheme="minorHAnsi" w:cstheme="minorHAnsi"/>
          <w:color w:val="000000"/>
        </w:rPr>
        <w:t>the principles of universal design have been incorporated into space planning where recommended.</w:t>
      </w:r>
    </w:p>
    <w:p w14:paraId="2AF412C0" w14:textId="77777777" w:rsidR="00F237B2" w:rsidRDefault="00F237B2" w:rsidP="00F237B2">
      <w:pPr>
        <w:pStyle w:val="NormalWeb"/>
        <w:numPr>
          <w:ilvl w:val="0"/>
          <w:numId w:val="14"/>
        </w:numPr>
        <w:shd w:val="clear" w:color="auto" w:fill="FFFFFF"/>
        <w:spacing w:before="0" w:beforeAutospacing="0" w:after="255" w:afterAutospacing="0"/>
        <w:jc w:val="both"/>
        <w:textAlignment w:val="baseline"/>
        <w:rPr>
          <w:rFonts w:asciiTheme="minorHAnsi" w:hAnsiTheme="minorHAnsi" w:cstheme="minorHAnsi"/>
          <w:color w:val="000000"/>
        </w:rPr>
      </w:pPr>
      <w:r>
        <w:rPr>
          <w:rFonts w:asciiTheme="minorHAnsi" w:hAnsiTheme="minorHAnsi" w:cstheme="minorHAnsi"/>
          <w:color w:val="000000"/>
        </w:rPr>
        <w:lastRenderedPageBreak/>
        <w:t>An Equity Advisor has been assigned to the newly formed Campus Planning Advisory Committee.</w:t>
      </w:r>
    </w:p>
    <w:p w14:paraId="70800BD7" w14:textId="77777777" w:rsidR="00F237B2" w:rsidRDefault="00F237B2" w:rsidP="00F237B2">
      <w:pPr>
        <w:pStyle w:val="NormalWeb"/>
        <w:numPr>
          <w:ilvl w:val="0"/>
          <w:numId w:val="14"/>
        </w:numPr>
        <w:shd w:val="clear" w:color="auto" w:fill="FFFFFF"/>
        <w:spacing w:before="0" w:beforeAutospacing="0" w:after="255" w:afterAutospacing="0"/>
        <w:jc w:val="both"/>
        <w:textAlignment w:val="baseline"/>
        <w:rPr>
          <w:rFonts w:asciiTheme="minorHAnsi" w:hAnsiTheme="minorHAnsi" w:cstheme="minorHAnsi"/>
          <w:color w:val="000000"/>
        </w:rPr>
      </w:pPr>
      <w:r>
        <w:rPr>
          <w:rFonts w:asciiTheme="minorHAnsi" w:hAnsiTheme="minorHAnsi" w:cstheme="minorHAnsi"/>
          <w:color w:val="000000"/>
        </w:rPr>
        <w:t>Funding has been secured for a campus-wide accessibility audit spanning over two years. Anticipated start date is October 2014.</w:t>
      </w:r>
    </w:p>
    <w:p w14:paraId="7B532ADE" w14:textId="77777777" w:rsidR="00625DAA" w:rsidRDefault="00625DAA" w:rsidP="00625DAA">
      <w:pPr>
        <w:pStyle w:val="Heading2"/>
      </w:pPr>
      <w:bookmarkStart w:id="21" w:name="_Toc392242970"/>
      <w:r>
        <w:t>Education, Training, &amp; Awareness</w:t>
      </w:r>
      <w:bookmarkEnd w:id="21"/>
    </w:p>
    <w:p w14:paraId="40A078EA" w14:textId="77777777" w:rsidR="00625DAA" w:rsidRPr="005C2CE2" w:rsidRDefault="00625DAA" w:rsidP="00625DAA">
      <w:pPr>
        <w:jc w:val="both"/>
      </w:pPr>
      <w:r w:rsidRPr="009F0E4B">
        <w:rPr>
          <w:rFonts w:cstheme="minorHAnsi"/>
          <w:sz w:val="24"/>
          <w:szCs w:val="24"/>
        </w:rPr>
        <w:t>Queen’s recognizes the importance of collaboration in order to share and gain expertise.</w:t>
      </w:r>
      <w:r w:rsidRPr="005C2CE2">
        <w:rPr>
          <w:rFonts w:cstheme="minorHAnsi"/>
          <w:sz w:val="24"/>
          <w:szCs w:val="24"/>
        </w:rPr>
        <w:t xml:space="preserve"> </w:t>
      </w:r>
      <w:r>
        <w:rPr>
          <w:rFonts w:cstheme="minorHAnsi"/>
          <w:sz w:val="24"/>
          <w:szCs w:val="24"/>
        </w:rPr>
        <w:t>We continue to</w:t>
      </w:r>
      <w:r w:rsidRPr="009F0E4B">
        <w:rPr>
          <w:rFonts w:cstheme="minorHAnsi"/>
          <w:sz w:val="24"/>
          <w:szCs w:val="24"/>
        </w:rPr>
        <w:t xml:space="preserve"> s</w:t>
      </w:r>
      <w:r>
        <w:rPr>
          <w:rFonts w:cstheme="minorHAnsi"/>
          <w:sz w:val="24"/>
          <w:szCs w:val="24"/>
        </w:rPr>
        <w:t>trengthen our</w:t>
      </w:r>
      <w:r w:rsidRPr="009F0E4B">
        <w:rPr>
          <w:rFonts w:cstheme="minorHAnsi"/>
          <w:sz w:val="24"/>
          <w:szCs w:val="24"/>
        </w:rPr>
        <w:t xml:space="preserve"> capacity to inform, educate, </w:t>
      </w:r>
      <w:r>
        <w:rPr>
          <w:rFonts w:cstheme="minorHAnsi"/>
          <w:sz w:val="24"/>
          <w:szCs w:val="24"/>
        </w:rPr>
        <w:t xml:space="preserve">raise awareness, </w:t>
      </w:r>
      <w:r w:rsidRPr="009F0E4B">
        <w:rPr>
          <w:rFonts w:cstheme="minorHAnsi"/>
          <w:sz w:val="24"/>
          <w:szCs w:val="24"/>
        </w:rPr>
        <w:t>and involve both persons with and without disabilities on and off campus.</w:t>
      </w:r>
    </w:p>
    <w:p w14:paraId="674B82FF" w14:textId="77777777" w:rsidR="00625DAA" w:rsidRPr="00356EDA" w:rsidRDefault="00625DAA" w:rsidP="00625DAA">
      <w:pPr>
        <w:pStyle w:val="ListParagraph"/>
        <w:ind w:left="1800"/>
        <w:rPr>
          <w:rFonts w:cstheme="minorHAnsi"/>
          <w:sz w:val="24"/>
          <w:szCs w:val="24"/>
        </w:rPr>
      </w:pPr>
    </w:p>
    <w:p w14:paraId="56ED503F" w14:textId="77777777" w:rsidR="00625DAA" w:rsidRDefault="00625DAA" w:rsidP="00F237B2">
      <w:pPr>
        <w:pStyle w:val="ListParagraph"/>
        <w:numPr>
          <w:ilvl w:val="0"/>
          <w:numId w:val="19"/>
        </w:numPr>
        <w:jc w:val="both"/>
        <w:rPr>
          <w:rFonts w:cstheme="minorHAnsi"/>
          <w:sz w:val="24"/>
          <w:szCs w:val="24"/>
        </w:rPr>
      </w:pPr>
      <w:r w:rsidRPr="00F237B2">
        <w:rPr>
          <w:rFonts w:cstheme="minorHAnsi"/>
          <w:sz w:val="24"/>
          <w:szCs w:val="24"/>
        </w:rPr>
        <w:t xml:space="preserve">The ‘From Diversity to Inclusion in the Workplace’ Certificate Program co-developed between Human Resources and the Equity and Human Rights Offices </w:t>
      </w:r>
      <w:r w:rsidR="00F237B2">
        <w:rPr>
          <w:rFonts w:cstheme="minorHAnsi"/>
          <w:sz w:val="24"/>
          <w:szCs w:val="24"/>
        </w:rPr>
        <w:t xml:space="preserve">successfully completed its </w:t>
      </w:r>
      <w:r w:rsidR="00275359" w:rsidRPr="00F237B2">
        <w:rPr>
          <w:rFonts w:cstheme="minorHAnsi"/>
          <w:sz w:val="24"/>
          <w:szCs w:val="24"/>
        </w:rPr>
        <w:t xml:space="preserve">second </w:t>
      </w:r>
      <w:r w:rsidR="00F237B2" w:rsidRPr="00F237B2">
        <w:rPr>
          <w:rFonts w:cstheme="minorHAnsi"/>
          <w:sz w:val="24"/>
          <w:szCs w:val="24"/>
        </w:rPr>
        <w:t>year</w:t>
      </w:r>
      <w:r w:rsidR="00F237B2">
        <w:rPr>
          <w:rFonts w:cstheme="minorHAnsi"/>
          <w:sz w:val="24"/>
          <w:szCs w:val="24"/>
        </w:rPr>
        <w:t xml:space="preserve"> of offerings</w:t>
      </w:r>
      <w:r w:rsidR="00F237B2" w:rsidRPr="00F237B2">
        <w:rPr>
          <w:rFonts w:cstheme="minorHAnsi"/>
          <w:sz w:val="24"/>
          <w:szCs w:val="24"/>
        </w:rPr>
        <w:t xml:space="preserve">. </w:t>
      </w:r>
      <w:r w:rsidRPr="00F237B2">
        <w:rPr>
          <w:rFonts w:cstheme="minorHAnsi"/>
          <w:sz w:val="24"/>
          <w:szCs w:val="24"/>
        </w:rPr>
        <w:t>This Program includes courses examining accessibility in the workplace, amongst others.</w:t>
      </w:r>
    </w:p>
    <w:p w14:paraId="692C5208" w14:textId="77777777" w:rsidR="00F237B2" w:rsidRDefault="00F237B2" w:rsidP="00F237B2">
      <w:pPr>
        <w:pStyle w:val="ListParagraph"/>
        <w:numPr>
          <w:ilvl w:val="0"/>
          <w:numId w:val="19"/>
        </w:numPr>
        <w:jc w:val="both"/>
        <w:rPr>
          <w:rFonts w:cstheme="minorHAnsi"/>
          <w:sz w:val="24"/>
          <w:szCs w:val="24"/>
        </w:rPr>
      </w:pPr>
      <w:r>
        <w:rPr>
          <w:rFonts w:cstheme="minorHAnsi"/>
          <w:sz w:val="24"/>
          <w:szCs w:val="24"/>
        </w:rPr>
        <w:t>ITS offered several workshops on the Siteimprove tool</w:t>
      </w:r>
    </w:p>
    <w:p w14:paraId="6453F23E" w14:textId="77777777" w:rsidR="00F237B2" w:rsidRDefault="00F237B2" w:rsidP="00F237B2">
      <w:pPr>
        <w:pStyle w:val="ListParagraph"/>
        <w:numPr>
          <w:ilvl w:val="0"/>
          <w:numId w:val="19"/>
        </w:numPr>
        <w:jc w:val="both"/>
        <w:rPr>
          <w:rFonts w:cstheme="minorHAnsi"/>
          <w:sz w:val="24"/>
          <w:szCs w:val="24"/>
        </w:rPr>
      </w:pPr>
      <w:r>
        <w:rPr>
          <w:rFonts w:cstheme="minorHAnsi"/>
          <w:sz w:val="24"/>
          <w:szCs w:val="24"/>
        </w:rPr>
        <w:t xml:space="preserve">Accessibility Hub </w:t>
      </w:r>
      <w:r w:rsidR="00472605">
        <w:rPr>
          <w:rFonts w:cstheme="minorHAnsi"/>
          <w:sz w:val="24"/>
          <w:szCs w:val="24"/>
        </w:rPr>
        <w:t xml:space="preserve">Coordinator </w:t>
      </w:r>
      <w:r>
        <w:rPr>
          <w:rFonts w:cstheme="minorHAnsi"/>
          <w:sz w:val="24"/>
          <w:szCs w:val="24"/>
        </w:rPr>
        <w:t>offered several workshops on accessible documents and websites</w:t>
      </w:r>
    </w:p>
    <w:p w14:paraId="03811F9A" w14:textId="77777777" w:rsidR="00F237B2" w:rsidRDefault="00F237B2" w:rsidP="00F237B2">
      <w:pPr>
        <w:pStyle w:val="ListParagraph"/>
        <w:numPr>
          <w:ilvl w:val="0"/>
          <w:numId w:val="19"/>
        </w:numPr>
        <w:jc w:val="both"/>
        <w:rPr>
          <w:rFonts w:cstheme="minorHAnsi"/>
          <w:sz w:val="24"/>
          <w:szCs w:val="24"/>
        </w:rPr>
      </w:pPr>
      <w:r>
        <w:rPr>
          <w:rFonts w:cstheme="minorHAnsi"/>
          <w:sz w:val="24"/>
          <w:szCs w:val="24"/>
        </w:rPr>
        <w:t>Accessibility Hub</w:t>
      </w:r>
      <w:r w:rsidR="00472605">
        <w:rPr>
          <w:rFonts w:cstheme="minorHAnsi"/>
          <w:sz w:val="24"/>
          <w:szCs w:val="24"/>
        </w:rPr>
        <w:t xml:space="preserve"> Coordinator</w:t>
      </w:r>
      <w:r>
        <w:rPr>
          <w:rFonts w:cstheme="minorHAnsi"/>
          <w:sz w:val="24"/>
          <w:szCs w:val="24"/>
        </w:rPr>
        <w:t xml:space="preserve"> offered workshop on assisting students with disabilities</w:t>
      </w:r>
    </w:p>
    <w:p w14:paraId="0BA5F9B7" w14:textId="418AD67B" w:rsidR="00472605" w:rsidRDefault="00472605" w:rsidP="00F237B2">
      <w:pPr>
        <w:pStyle w:val="ListParagraph"/>
        <w:numPr>
          <w:ilvl w:val="0"/>
          <w:numId w:val="19"/>
        </w:numPr>
        <w:jc w:val="both"/>
        <w:rPr>
          <w:rFonts w:cstheme="minorHAnsi"/>
          <w:sz w:val="24"/>
          <w:szCs w:val="24"/>
        </w:rPr>
      </w:pPr>
      <w:r>
        <w:rPr>
          <w:rFonts w:cstheme="minorHAnsi"/>
          <w:sz w:val="24"/>
          <w:szCs w:val="24"/>
        </w:rPr>
        <w:t>Accessibility Hub Coordinator CISC 28</w:t>
      </w:r>
      <w:r w:rsidR="002F2EFB">
        <w:rPr>
          <w:rFonts w:cstheme="minorHAnsi"/>
          <w:sz w:val="24"/>
          <w:szCs w:val="24"/>
        </w:rPr>
        <w:t>2 – Fundamentals of Web</w:t>
      </w:r>
      <w:r>
        <w:rPr>
          <w:rFonts w:cstheme="minorHAnsi"/>
          <w:sz w:val="24"/>
          <w:szCs w:val="24"/>
        </w:rPr>
        <w:t xml:space="preserve"> </w:t>
      </w:r>
      <w:r w:rsidR="002F2EFB">
        <w:rPr>
          <w:rFonts w:cstheme="minorHAnsi"/>
          <w:sz w:val="24"/>
          <w:szCs w:val="24"/>
        </w:rPr>
        <w:t xml:space="preserve">and Mobile Applications </w:t>
      </w:r>
      <w:r>
        <w:rPr>
          <w:rFonts w:cstheme="minorHAnsi"/>
          <w:sz w:val="24"/>
          <w:szCs w:val="24"/>
        </w:rPr>
        <w:t>guest lecture on accessible websites</w:t>
      </w:r>
    </w:p>
    <w:p w14:paraId="79699FBE" w14:textId="77777777" w:rsidR="00472605" w:rsidRDefault="00472605" w:rsidP="00F237B2">
      <w:pPr>
        <w:pStyle w:val="ListParagraph"/>
        <w:numPr>
          <w:ilvl w:val="0"/>
          <w:numId w:val="19"/>
        </w:numPr>
        <w:jc w:val="both"/>
        <w:rPr>
          <w:rFonts w:cstheme="minorHAnsi"/>
          <w:sz w:val="24"/>
          <w:szCs w:val="24"/>
        </w:rPr>
      </w:pPr>
      <w:r>
        <w:rPr>
          <w:rFonts w:cstheme="minorHAnsi"/>
          <w:sz w:val="24"/>
          <w:szCs w:val="24"/>
        </w:rPr>
        <w:t>Equity Advisor and Occupational Student supported accessibility initiatives (i.e., Accessibility Champions) at Homecoming</w:t>
      </w:r>
    </w:p>
    <w:p w14:paraId="64223A0D" w14:textId="77777777" w:rsidR="00472605" w:rsidRDefault="00472605" w:rsidP="00F237B2">
      <w:pPr>
        <w:pStyle w:val="ListParagraph"/>
        <w:numPr>
          <w:ilvl w:val="0"/>
          <w:numId w:val="19"/>
        </w:numPr>
        <w:jc w:val="both"/>
        <w:rPr>
          <w:rFonts w:cstheme="minorHAnsi"/>
          <w:sz w:val="24"/>
          <w:szCs w:val="24"/>
        </w:rPr>
      </w:pPr>
      <w:r>
        <w:rPr>
          <w:rFonts w:cstheme="minorHAnsi"/>
          <w:sz w:val="24"/>
          <w:szCs w:val="24"/>
        </w:rPr>
        <w:t>Equity Advisor participated on Center for Teaching and Learning Teacher Development Day panel concerning accessibility in the classroom</w:t>
      </w:r>
    </w:p>
    <w:p w14:paraId="1019F2A5" w14:textId="15245EC3" w:rsidR="00472605" w:rsidRDefault="0077274A" w:rsidP="00F237B2">
      <w:pPr>
        <w:pStyle w:val="ListParagraph"/>
        <w:numPr>
          <w:ilvl w:val="0"/>
          <w:numId w:val="19"/>
        </w:numPr>
        <w:jc w:val="both"/>
        <w:rPr>
          <w:rFonts w:cstheme="minorHAnsi"/>
          <w:sz w:val="24"/>
          <w:szCs w:val="24"/>
        </w:rPr>
      </w:pPr>
      <w:r>
        <w:rPr>
          <w:rFonts w:cstheme="minorHAnsi"/>
          <w:sz w:val="24"/>
          <w:szCs w:val="24"/>
        </w:rPr>
        <w:t>Equity Advisor SURP 870</w:t>
      </w:r>
      <w:r w:rsidR="00EE2329">
        <w:rPr>
          <w:rFonts w:cstheme="minorHAnsi"/>
          <w:sz w:val="24"/>
          <w:szCs w:val="24"/>
        </w:rPr>
        <w:t xml:space="preserve"> (School of Urban and Regional Planning – Program Development for Human Services)</w:t>
      </w:r>
      <w:r>
        <w:rPr>
          <w:rFonts w:cstheme="minorHAnsi"/>
          <w:sz w:val="24"/>
          <w:szCs w:val="24"/>
        </w:rPr>
        <w:t xml:space="preserve"> guest lecture on taking accessibility into account when planning and policy-making</w:t>
      </w:r>
    </w:p>
    <w:p w14:paraId="4E7E6953" w14:textId="77777777" w:rsidR="0077274A" w:rsidRDefault="0077274A" w:rsidP="00F237B2">
      <w:pPr>
        <w:pStyle w:val="ListParagraph"/>
        <w:numPr>
          <w:ilvl w:val="0"/>
          <w:numId w:val="19"/>
        </w:numPr>
        <w:jc w:val="both"/>
        <w:rPr>
          <w:rFonts w:cstheme="minorHAnsi"/>
          <w:sz w:val="24"/>
          <w:szCs w:val="24"/>
        </w:rPr>
      </w:pPr>
      <w:r>
        <w:rPr>
          <w:rFonts w:cstheme="minorHAnsi"/>
          <w:sz w:val="24"/>
          <w:szCs w:val="24"/>
        </w:rPr>
        <w:t>Equity Advisor delivered Universal Design for Learning workshop to Educational Developers at the Center of Teaching and Learning</w:t>
      </w:r>
    </w:p>
    <w:p w14:paraId="629B76A2" w14:textId="37A5B8B2" w:rsidR="0077274A" w:rsidRDefault="0077274A" w:rsidP="00F237B2">
      <w:pPr>
        <w:pStyle w:val="ListParagraph"/>
        <w:numPr>
          <w:ilvl w:val="0"/>
          <w:numId w:val="19"/>
        </w:numPr>
        <w:jc w:val="both"/>
        <w:rPr>
          <w:rFonts w:cstheme="minorHAnsi"/>
          <w:sz w:val="24"/>
          <w:szCs w:val="24"/>
        </w:rPr>
      </w:pPr>
      <w:r>
        <w:rPr>
          <w:rFonts w:cstheme="minorHAnsi"/>
          <w:sz w:val="24"/>
          <w:szCs w:val="24"/>
        </w:rPr>
        <w:t xml:space="preserve">Equity Office received grant from the AMS Accessibility Queen’s committee to host </w:t>
      </w:r>
      <w:r w:rsidR="0081457B">
        <w:rPr>
          <w:rFonts w:cstheme="minorHAnsi"/>
          <w:sz w:val="24"/>
          <w:szCs w:val="24"/>
        </w:rPr>
        <w:t>two</w:t>
      </w:r>
      <w:r>
        <w:rPr>
          <w:rFonts w:cstheme="minorHAnsi"/>
          <w:sz w:val="24"/>
          <w:szCs w:val="24"/>
        </w:rPr>
        <w:t xml:space="preserve"> events in the Fall of 2014</w:t>
      </w:r>
    </w:p>
    <w:p w14:paraId="01230AC2" w14:textId="77777777" w:rsidR="001321A4" w:rsidRPr="001321A4" w:rsidRDefault="001321A4" w:rsidP="001321A4">
      <w:pPr>
        <w:pStyle w:val="Heading2"/>
      </w:pPr>
      <w:bookmarkStart w:id="22" w:name="_Toc392242971"/>
      <w:r>
        <w:t>Information and Communications</w:t>
      </w:r>
      <w:bookmarkEnd w:id="22"/>
    </w:p>
    <w:p w14:paraId="38606927" w14:textId="77777777" w:rsidR="00625DAA" w:rsidRDefault="008639AA" w:rsidP="00A32CC3">
      <w:pPr>
        <w:spacing w:before="120" w:after="120" w:line="240" w:lineRule="auto"/>
        <w:jc w:val="both"/>
        <w:rPr>
          <w:rFonts w:cstheme="minorHAnsi"/>
          <w:sz w:val="24"/>
          <w:szCs w:val="24"/>
        </w:rPr>
      </w:pPr>
      <w:r w:rsidRPr="008639AA">
        <w:rPr>
          <w:sz w:val="24"/>
          <w:szCs w:val="24"/>
        </w:rPr>
        <w:t xml:space="preserve">The Information and Communications Working Group (ICWG) of the Queen’s Accessibility Framework completed an </w:t>
      </w:r>
      <w:r w:rsidR="00A32CC3">
        <w:rPr>
          <w:sz w:val="24"/>
          <w:szCs w:val="24"/>
        </w:rPr>
        <w:t>A</w:t>
      </w:r>
      <w:r w:rsidRPr="008639AA">
        <w:rPr>
          <w:sz w:val="24"/>
          <w:szCs w:val="24"/>
        </w:rPr>
        <w:t xml:space="preserve">ccessibility </w:t>
      </w:r>
      <w:r w:rsidR="00A32CC3">
        <w:rPr>
          <w:sz w:val="24"/>
          <w:szCs w:val="24"/>
        </w:rPr>
        <w:t>S</w:t>
      </w:r>
      <w:r w:rsidRPr="008639AA">
        <w:rPr>
          <w:sz w:val="24"/>
          <w:szCs w:val="24"/>
        </w:rPr>
        <w:t xml:space="preserve">can and </w:t>
      </w:r>
      <w:r w:rsidR="00A32CC3">
        <w:rPr>
          <w:sz w:val="24"/>
          <w:szCs w:val="24"/>
        </w:rPr>
        <w:t>G</w:t>
      </w:r>
      <w:r w:rsidRPr="008639AA">
        <w:rPr>
          <w:sz w:val="24"/>
          <w:szCs w:val="24"/>
        </w:rPr>
        <w:t xml:space="preserve">ap </w:t>
      </w:r>
      <w:r w:rsidR="00A32CC3">
        <w:rPr>
          <w:sz w:val="24"/>
          <w:szCs w:val="24"/>
        </w:rPr>
        <w:t>A</w:t>
      </w:r>
      <w:r w:rsidRPr="008639AA">
        <w:rPr>
          <w:sz w:val="24"/>
          <w:szCs w:val="24"/>
        </w:rPr>
        <w:t>nalysis</w:t>
      </w:r>
      <w:r w:rsidR="00A32CC3">
        <w:rPr>
          <w:sz w:val="24"/>
          <w:szCs w:val="24"/>
        </w:rPr>
        <w:t xml:space="preserve"> Report</w:t>
      </w:r>
      <w:r w:rsidRPr="008639AA">
        <w:rPr>
          <w:sz w:val="24"/>
          <w:szCs w:val="24"/>
        </w:rPr>
        <w:t xml:space="preserve"> relating to information and communications accessibility in February 2013</w:t>
      </w:r>
      <w:r>
        <w:rPr>
          <w:sz w:val="24"/>
          <w:szCs w:val="24"/>
        </w:rPr>
        <w:t>.</w:t>
      </w:r>
      <w:r w:rsidRPr="008639AA">
        <w:rPr>
          <w:sz w:val="24"/>
          <w:szCs w:val="24"/>
        </w:rPr>
        <w:t xml:space="preserve"> In April 2013 the Accessibility Steering Committee addressed the first recommendation of the report, to c</w:t>
      </w:r>
      <w:r w:rsidRPr="008639AA">
        <w:rPr>
          <w:rFonts w:cstheme="minorHAnsi"/>
          <w:sz w:val="24"/>
          <w:szCs w:val="24"/>
        </w:rPr>
        <w:t xml:space="preserve">reate an online accessibility information hub with a designated Coordinator. The proposed purpose of the Accessibility Hub was to </w:t>
      </w:r>
      <w:r w:rsidRPr="008639AA">
        <w:rPr>
          <w:sz w:val="24"/>
          <w:szCs w:val="24"/>
        </w:rPr>
        <w:t>provide online resources and information to the Queen’s community regarding: the AODA, creating accessible websites and documents, accessible formats, accessibility, technologies, and event planning.</w:t>
      </w:r>
      <w:r w:rsidRPr="008639AA">
        <w:rPr>
          <w:rFonts w:cstheme="minorHAnsi"/>
          <w:sz w:val="24"/>
          <w:szCs w:val="24"/>
        </w:rPr>
        <w:t xml:space="preserve"> Development was completed over the summer and the Accessibility Hub was officially launched at a campus event in October 2013.  </w:t>
      </w:r>
    </w:p>
    <w:p w14:paraId="65AECB3E" w14:textId="4A17EF5E" w:rsidR="00A32CC3" w:rsidRPr="00A32CC3" w:rsidRDefault="00A32CC3" w:rsidP="006E3E61">
      <w:pPr>
        <w:pStyle w:val="ListParagraph"/>
        <w:numPr>
          <w:ilvl w:val="0"/>
          <w:numId w:val="21"/>
        </w:numPr>
        <w:spacing w:before="120" w:after="120" w:line="240" w:lineRule="auto"/>
        <w:jc w:val="both"/>
        <w:rPr>
          <w:rFonts w:cstheme="minorHAnsi"/>
          <w:sz w:val="24"/>
          <w:szCs w:val="24"/>
        </w:rPr>
      </w:pPr>
      <w:r w:rsidRPr="00A32CC3">
        <w:rPr>
          <w:rFonts w:cstheme="minorHAnsi"/>
          <w:sz w:val="24"/>
          <w:szCs w:val="24"/>
        </w:rPr>
        <w:t xml:space="preserve">Upon further recommendation of this report, a working group has been struck and is currently underway to conduct an accessibility services self-study. The working group consists of the </w:t>
      </w:r>
      <w:r w:rsidRPr="00A32CC3">
        <w:rPr>
          <w:rFonts w:cstheme="minorHAnsi"/>
          <w:sz w:val="24"/>
          <w:szCs w:val="24"/>
        </w:rPr>
        <w:lastRenderedPageBreak/>
        <w:t>Deputy Provost, the Vice-</w:t>
      </w:r>
      <w:r w:rsidR="0081457B" w:rsidRPr="00A32CC3">
        <w:rPr>
          <w:rFonts w:cstheme="minorHAnsi"/>
          <w:sz w:val="24"/>
          <w:szCs w:val="24"/>
        </w:rPr>
        <w:t>Provost &amp;</w:t>
      </w:r>
      <w:r w:rsidRPr="00A32CC3">
        <w:rPr>
          <w:rFonts w:cstheme="minorHAnsi"/>
          <w:sz w:val="24"/>
          <w:szCs w:val="24"/>
        </w:rPr>
        <w:t xml:space="preserve"> Dean of Student Affairs and the University Librarian.</w:t>
      </w:r>
      <w:r>
        <w:rPr>
          <w:rFonts w:cstheme="minorHAnsi"/>
          <w:sz w:val="24"/>
          <w:szCs w:val="24"/>
        </w:rPr>
        <w:t xml:space="preserve"> </w:t>
      </w:r>
      <w:r w:rsidRPr="00A32CC3">
        <w:rPr>
          <w:sz w:val="24"/>
          <w:szCs w:val="24"/>
        </w:rPr>
        <w:t>Recommendations will be provided for information and feedback to the O</w:t>
      </w:r>
      <w:r>
        <w:rPr>
          <w:sz w:val="24"/>
          <w:szCs w:val="24"/>
        </w:rPr>
        <w:t xml:space="preserve">perations </w:t>
      </w:r>
      <w:r w:rsidRPr="00A32CC3">
        <w:rPr>
          <w:sz w:val="24"/>
          <w:szCs w:val="24"/>
        </w:rPr>
        <w:t>R</w:t>
      </w:r>
      <w:r>
        <w:rPr>
          <w:sz w:val="24"/>
          <w:szCs w:val="24"/>
        </w:rPr>
        <w:t xml:space="preserve">eview </w:t>
      </w:r>
      <w:r w:rsidRPr="00A32CC3">
        <w:rPr>
          <w:sz w:val="24"/>
          <w:szCs w:val="24"/>
        </w:rPr>
        <w:t>C</w:t>
      </w:r>
      <w:r>
        <w:rPr>
          <w:sz w:val="24"/>
          <w:szCs w:val="24"/>
        </w:rPr>
        <w:t xml:space="preserve">ommittee </w:t>
      </w:r>
      <w:r w:rsidRPr="00A32CC3">
        <w:rPr>
          <w:sz w:val="24"/>
          <w:szCs w:val="24"/>
        </w:rPr>
        <w:t>and V</w:t>
      </w:r>
      <w:r>
        <w:rPr>
          <w:sz w:val="24"/>
          <w:szCs w:val="24"/>
        </w:rPr>
        <w:t>ice-</w:t>
      </w:r>
      <w:r w:rsidRPr="00A32CC3">
        <w:rPr>
          <w:sz w:val="24"/>
          <w:szCs w:val="24"/>
        </w:rPr>
        <w:t>P</w:t>
      </w:r>
      <w:r>
        <w:rPr>
          <w:sz w:val="24"/>
          <w:szCs w:val="24"/>
        </w:rPr>
        <w:t xml:space="preserve">rincipals’ </w:t>
      </w:r>
      <w:r w:rsidRPr="00A32CC3">
        <w:rPr>
          <w:sz w:val="24"/>
          <w:szCs w:val="24"/>
        </w:rPr>
        <w:t>O</w:t>
      </w:r>
      <w:r>
        <w:rPr>
          <w:sz w:val="24"/>
          <w:szCs w:val="24"/>
        </w:rPr>
        <w:t xml:space="preserve">peration </w:t>
      </w:r>
      <w:r w:rsidRPr="00A32CC3">
        <w:rPr>
          <w:sz w:val="24"/>
          <w:szCs w:val="24"/>
        </w:rPr>
        <w:t>C</w:t>
      </w:r>
      <w:r>
        <w:rPr>
          <w:sz w:val="24"/>
          <w:szCs w:val="24"/>
        </w:rPr>
        <w:t xml:space="preserve">ommittee </w:t>
      </w:r>
      <w:r w:rsidR="0081457B">
        <w:rPr>
          <w:sz w:val="24"/>
          <w:szCs w:val="24"/>
        </w:rPr>
        <w:t xml:space="preserve">in fall </w:t>
      </w:r>
      <w:r>
        <w:rPr>
          <w:sz w:val="24"/>
          <w:szCs w:val="24"/>
        </w:rPr>
        <w:t>2014.</w:t>
      </w:r>
    </w:p>
    <w:p w14:paraId="7DB7F92A" w14:textId="77777777" w:rsidR="00A32CC3" w:rsidRDefault="00A32CC3" w:rsidP="00A32CC3">
      <w:pPr>
        <w:pStyle w:val="Heading1"/>
      </w:pPr>
      <w:bookmarkStart w:id="23" w:name="_Toc392242972"/>
      <w:r>
        <w:t>Section 4: Conclusion</w:t>
      </w:r>
      <w:bookmarkEnd w:id="23"/>
    </w:p>
    <w:p w14:paraId="32497BF5" w14:textId="68C19600" w:rsidR="007F021B" w:rsidRPr="00AD725C" w:rsidRDefault="00AD725C" w:rsidP="00AD725C">
      <w:pPr>
        <w:jc w:val="both"/>
        <w:rPr>
          <w:sz w:val="24"/>
          <w:szCs w:val="24"/>
        </w:rPr>
      </w:pPr>
      <w:r w:rsidRPr="00AD725C">
        <w:rPr>
          <w:sz w:val="24"/>
          <w:szCs w:val="24"/>
        </w:rPr>
        <w:t>Queen’s University has made great strides</w:t>
      </w:r>
      <w:r>
        <w:rPr>
          <w:sz w:val="24"/>
          <w:szCs w:val="24"/>
        </w:rPr>
        <w:t xml:space="preserve"> toward greater accessibility for our students, staff, faculty, and visitors. With the Integrated Accessibility Standards Regulation acting as a primary driving force, the Accessibility Framework has focused its efforts on achieving legislative compliance through the development and implementation of best practices approaches to accessibility in the post-secondary environment. As awareness of how accessibility contributes to student, staff, and faculty engagement expands, so too will the barrier-identification processes and responses that bring continuous improvement in accessibility for persons with disabilities. We are a community that works together to create an environment where everyone has a full and enriching Queen’s experience.</w:t>
      </w:r>
    </w:p>
    <w:sectPr w:rsidR="007F021B" w:rsidRPr="00AD725C" w:rsidSect="00011A7D">
      <w:pgSz w:w="12240" w:h="15840"/>
      <w:pgMar w:top="864" w:right="864" w:bottom="864"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68171" w14:textId="77777777" w:rsidR="003909D3" w:rsidRDefault="003909D3" w:rsidP="00A77653">
      <w:pPr>
        <w:spacing w:after="0" w:line="240" w:lineRule="auto"/>
      </w:pPr>
      <w:r>
        <w:separator/>
      </w:r>
    </w:p>
  </w:endnote>
  <w:endnote w:type="continuationSeparator" w:id="0">
    <w:p w14:paraId="643A2878" w14:textId="77777777" w:rsidR="003909D3" w:rsidRDefault="003909D3" w:rsidP="00A7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7BC98" w14:textId="77777777" w:rsidR="003909D3" w:rsidRDefault="003909D3">
    <w:pPr>
      <w:pStyle w:val="Footer"/>
      <w:jc w:val="right"/>
    </w:pPr>
  </w:p>
  <w:p w14:paraId="2ECAD994" w14:textId="77777777" w:rsidR="003909D3" w:rsidRPr="006D39F8" w:rsidRDefault="003909D3">
    <w:pPr>
      <w:pStyle w:val="Footer"/>
      <w:rPr>
        <w: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947325"/>
      <w:docPartObj>
        <w:docPartGallery w:val="Page Numbers (Bottom of Page)"/>
        <w:docPartUnique/>
      </w:docPartObj>
    </w:sdtPr>
    <w:sdtEndPr>
      <w:rPr>
        <w:color w:val="7F7F7F" w:themeColor="background1" w:themeShade="7F"/>
        <w:spacing w:val="60"/>
      </w:rPr>
    </w:sdtEndPr>
    <w:sdtContent>
      <w:p w14:paraId="4F662501" w14:textId="77777777" w:rsidR="003909D3" w:rsidRDefault="003909D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323FC">
          <w:rPr>
            <w:noProof/>
          </w:rPr>
          <w:t>11</w:t>
        </w:r>
        <w:r>
          <w:rPr>
            <w:noProof/>
          </w:rPr>
          <w:fldChar w:fldCharType="end"/>
        </w:r>
        <w:r>
          <w:t xml:space="preserve"> | </w:t>
        </w:r>
        <w:r>
          <w:rPr>
            <w:color w:val="7F7F7F" w:themeColor="background1" w:themeShade="7F"/>
            <w:spacing w:val="60"/>
          </w:rPr>
          <w:t>Page</w:t>
        </w:r>
      </w:p>
    </w:sdtContent>
  </w:sdt>
  <w:p w14:paraId="1CA67C38" w14:textId="77777777" w:rsidR="003909D3" w:rsidRDefault="003909D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A92E5" w14:textId="77777777" w:rsidR="003909D3" w:rsidRDefault="003909D3" w:rsidP="00A77653">
      <w:pPr>
        <w:spacing w:after="0" w:line="240" w:lineRule="auto"/>
      </w:pPr>
      <w:r>
        <w:separator/>
      </w:r>
    </w:p>
  </w:footnote>
  <w:footnote w:type="continuationSeparator" w:id="0">
    <w:p w14:paraId="060EF085" w14:textId="77777777" w:rsidR="003909D3" w:rsidRDefault="003909D3" w:rsidP="00A77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A3515" w14:textId="77777777" w:rsidR="003909D3" w:rsidRDefault="003909D3" w:rsidP="004846B9">
    <w:pPr>
      <w:pStyle w:val="Header"/>
      <w:tabs>
        <w:tab w:val="clear" w:pos="4680"/>
        <w:tab w:val="clear" w:pos="9360"/>
        <w:tab w:val="center" w:pos="0"/>
      </w:tabs>
      <w:ind w:left="-1418" w:right="-1413"/>
    </w:pPr>
    <w:r>
      <w:rPr>
        <w:noProof/>
        <w:lang w:val="en-CA" w:eastAsia="en-CA"/>
      </w:rPr>
      <w:ptab w:relativeTo="margin" w:alignment="left" w:leader="none"/>
    </w:r>
    <w:r>
      <w:rPr>
        <w:noProof/>
      </w:rPr>
      <w:drawing>
        <wp:inline distT="0" distB="0" distL="0" distR="0" wp14:anchorId="108C1F6D" wp14:editId="6A9E5165">
          <wp:extent cx="7772400" cy="1235413"/>
          <wp:effectExtent l="0" t="0" r="0" b="3175"/>
          <wp:docPr id="17" name="Picture 17" descr="Queen's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772387" cy="123541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B5B"/>
    <w:multiLevelType w:val="hybridMultilevel"/>
    <w:tmpl w:val="D76A761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23B8"/>
    <w:multiLevelType w:val="hybridMultilevel"/>
    <w:tmpl w:val="D24660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058F5"/>
    <w:multiLevelType w:val="hybridMultilevel"/>
    <w:tmpl w:val="8A463E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44698"/>
    <w:multiLevelType w:val="hybridMultilevel"/>
    <w:tmpl w:val="E7CE73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9259D"/>
    <w:multiLevelType w:val="multilevel"/>
    <w:tmpl w:val="5956ABD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nsid w:val="22304B26"/>
    <w:multiLevelType w:val="hybridMultilevel"/>
    <w:tmpl w:val="5DFE4A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F4930"/>
    <w:multiLevelType w:val="hybridMultilevel"/>
    <w:tmpl w:val="D7DA82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F706B6"/>
    <w:multiLevelType w:val="hybridMultilevel"/>
    <w:tmpl w:val="58C4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713167"/>
    <w:multiLevelType w:val="hybridMultilevel"/>
    <w:tmpl w:val="E6BC3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E7D4D"/>
    <w:multiLevelType w:val="hybridMultilevel"/>
    <w:tmpl w:val="120CA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DE6E3F"/>
    <w:multiLevelType w:val="hybridMultilevel"/>
    <w:tmpl w:val="707CE9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E15363F"/>
    <w:multiLevelType w:val="hybridMultilevel"/>
    <w:tmpl w:val="A9080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9F6A3E"/>
    <w:multiLevelType w:val="hybridMultilevel"/>
    <w:tmpl w:val="35206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775E94"/>
    <w:multiLevelType w:val="hybridMultilevel"/>
    <w:tmpl w:val="37A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C0F3F"/>
    <w:multiLevelType w:val="hybridMultilevel"/>
    <w:tmpl w:val="7BD8A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EEE788F"/>
    <w:multiLevelType w:val="hybridMultilevel"/>
    <w:tmpl w:val="BA2A94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B778DE"/>
    <w:multiLevelType w:val="hybridMultilevel"/>
    <w:tmpl w:val="5D5290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6B5863"/>
    <w:multiLevelType w:val="hybridMultilevel"/>
    <w:tmpl w:val="FA08D0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056880"/>
    <w:multiLevelType w:val="hybridMultilevel"/>
    <w:tmpl w:val="992CBC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69761A"/>
    <w:multiLevelType w:val="hybridMultilevel"/>
    <w:tmpl w:val="8DD0C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A0D11"/>
    <w:multiLevelType w:val="hybridMultilevel"/>
    <w:tmpl w:val="FC8067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11"/>
  </w:num>
  <w:num w:numId="5">
    <w:abstractNumId w:val="9"/>
  </w:num>
  <w:num w:numId="6">
    <w:abstractNumId w:val="10"/>
  </w:num>
  <w:num w:numId="7">
    <w:abstractNumId w:val="14"/>
  </w:num>
  <w:num w:numId="8">
    <w:abstractNumId w:val="16"/>
  </w:num>
  <w:num w:numId="9">
    <w:abstractNumId w:val="3"/>
  </w:num>
  <w:num w:numId="10">
    <w:abstractNumId w:val="15"/>
  </w:num>
  <w:num w:numId="11">
    <w:abstractNumId w:val="1"/>
  </w:num>
  <w:num w:numId="12">
    <w:abstractNumId w:val="19"/>
  </w:num>
  <w:num w:numId="13">
    <w:abstractNumId w:val="0"/>
  </w:num>
  <w:num w:numId="14">
    <w:abstractNumId w:val="5"/>
  </w:num>
  <w:num w:numId="15">
    <w:abstractNumId w:val="6"/>
  </w:num>
  <w:num w:numId="16">
    <w:abstractNumId w:val="2"/>
  </w:num>
  <w:num w:numId="17">
    <w:abstractNumId w:val="17"/>
  </w:num>
  <w:num w:numId="18">
    <w:abstractNumId w:val="12"/>
  </w:num>
  <w:num w:numId="19">
    <w:abstractNumId w:val="8"/>
  </w:num>
  <w:num w:numId="20">
    <w:abstractNumId w:val="20"/>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29"/>
    <w:rsid w:val="00000B8D"/>
    <w:rsid w:val="000044E9"/>
    <w:rsid w:val="00006F44"/>
    <w:rsid w:val="0001077E"/>
    <w:rsid w:val="00011A7D"/>
    <w:rsid w:val="00011C0B"/>
    <w:rsid w:val="0002057D"/>
    <w:rsid w:val="00020855"/>
    <w:rsid w:val="0002286F"/>
    <w:rsid w:val="00024797"/>
    <w:rsid w:val="00024BE4"/>
    <w:rsid w:val="00025A49"/>
    <w:rsid w:val="00030A16"/>
    <w:rsid w:val="000324D5"/>
    <w:rsid w:val="00043B92"/>
    <w:rsid w:val="000525EE"/>
    <w:rsid w:val="00061F6B"/>
    <w:rsid w:val="00063F11"/>
    <w:rsid w:val="00066863"/>
    <w:rsid w:val="000758C9"/>
    <w:rsid w:val="000760AD"/>
    <w:rsid w:val="00086E23"/>
    <w:rsid w:val="00090B8A"/>
    <w:rsid w:val="00092444"/>
    <w:rsid w:val="000928C0"/>
    <w:rsid w:val="000A021D"/>
    <w:rsid w:val="000A13E8"/>
    <w:rsid w:val="000A347B"/>
    <w:rsid w:val="000A5B6C"/>
    <w:rsid w:val="000A5D45"/>
    <w:rsid w:val="000B2FD3"/>
    <w:rsid w:val="000B7C89"/>
    <w:rsid w:val="000C50EC"/>
    <w:rsid w:val="000C6989"/>
    <w:rsid w:val="000C766B"/>
    <w:rsid w:val="000D403F"/>
    <w:rsid w:val="000D5874"/>
    <w:rsid w:val="000E276E"/>
    <w:rsid w:val="000E4A29"/>
    <w:rsid w:val="000E6AFB"/>
    <w:rsid w:val="000F02A4"/>
    <w:rsid w:val="000F0632"/>
    <w:rsid w:val="000F169C"/>
    <w:rsid w:val="000F752D"/>
    <w:rsid w:val="001025A9"/>
    <w:rsid w:val="00105223"/>
    <w:rsid w:val="0010526A"/>
    <w:rsid w:val="001076FD"/>
    <w:rsid w:val="00110AE7"/>
    <w:rsid w:val="001162E3"/>
    <w:rsid w:val="00116ED3"/>
    <w:rsid w:val="00120C7D"/>
    <w:rsid w:val="001213F6"/>
    <w:rsid w:val="0012463A"/>
    <w:rsid w:val="00130045"/>
    <w:rsid w:val="00130FE7"/>
    <w:rsid w:val="001321A4"/>
    <w:rsid w:val="0014124E"/>
    <w:rsid w:val="00144A22"/>
    <w:rsid w:val="0015048B"/>
    <w:rsid w:val="00151DED"/>
    <w:rsid w:val="00155EAF"/>
    <w:rsid w:val="0016092F"/>
    <w:rsid w:val="00162B72"/>
    <w:rsid w:val="0016313F"/>
    <w:rsid w:val="001652B3"/>
    <w:rsid w:val="001665BA"/>
    <w:rsid w:val="00166CEA"/>
    <w:rsid w:val="00170618"/>
    <w:rsid w:val="001726A0"/>
    <w:rsid w:val="00173BF7"/>
    <w:rsid w:val="00181762"/>
    <w:rsid w:val="0018349F"/>
    <w:rsid w:val="001843E0"/>
    <w:rsid w:val="001954C9"/>
    <w:rsid w:val="0019631D"/>
    <w:rsid w:val="001A089E"/>
    <w:rsid w:val="001A0C67"/>
    <w:rsid w:val="001A258B"/>
    <w:rsid w:val="001A493B"/>
    <w:rsid w:val="001A6453"/>
    <w:rsid w:val="001A7025"/>
    <w:rsid w:val="001B65CD"/>
    <w:rsid w:val="001D01B4"/>
    <w:rsid w:val="001D3245"/>
    <w:rsid w:val="001E3689"/>
    <w:rsid w:val="001F1731"/>
    <w:rsid w:val="001F6B5D"/>
    <w:rsid w:val="002010F3"/>
    <w:rsid w:val="002016A5"/>
    <w:rsid w:val="0020347A"/>
    <w:rsid w:val="00203D10"/>
    <w:rsid w:val="00206D88"/>
    <w:rsid w:val="002101F9"/>
    <w:rsid w:val="002125F2"/>
    <w:rsid w:val="0021388A"/>
    <w:rsid w:val="00222D92"/>
    <w:rsid w:val="0023281B"/>
    <w:rsid w:val="00236A13"/>
    <w:rsid w:val="0024659F"/>
    <w:rsid w:val="00247712"/>
    <w:rsid w:val="00250A0C"/>
    <w:rsid w:val="00253024"/>
    <w:rsid w:val="00256B82"/>
    <w:rsid w:val="002608B4"/>
    <w:rsid w:val="00272231"/>
    <w:rsid w:val="00275359"/>
    <w:rsid w:val="002776A3"/>
    <w:rsid w:val="00277A79"/>
    <w:rsid w:val="002811CF"/>
    <w:rsid w:val="00281C4C"/>
    <w:rsid w:val="00283874"/>
    <w:rsid w:val="00291065"/>
    <w:rsid w:val="0029214D"/>
    <w:rsid w:val="0029557D"/>
    <w:rsid w:val="00296ECC"/>
    <w:rsid w:val="002A42C1"/>
    <w:rsid w:val="002A5F0A"/>
    <w:rsid w:val="002B0ABB"/>
    <w:rsid w:val="002B57C7"/>
    <w:rsid w:val="002B72A2"/>
    <w:rsid w:val="002B7469"/>
    <w:rsid w:val="002B7992"/>
    <w:rsid w:val="002C09F2"/>
    <w:rsid w:val="002C4153"/>
    <w:rsid w:val="002C4937"/>
    <w:rsid w:val="002C7C03"/>
    <w:rsid w:val="002D2E87"/>
    <w:rsid w:val="002D330A"/>
    <w:rsid w:val="002E1EC3"/>
    <w:rsid w:val="002E2B3F"/>
    <w:rsid w:val="002E7E20"/>
    <w:rsid w:val="002F2EFB"/>
    <w:rsid w:val="002F5C21"/>
    <w:rsid w:val="002F7812"/>
    <w:rsid w:val="00304D30"/>
    <w:rsid w:val="00306410"/>
    <w:rsid w:val="00307567"/>
    <w:rsid w:val="00311C1D"/>
    <w:rsid w:val="00311F03"/>
    <w:rsid w:val="003131D5"/>
    <w:rsid w:val="00321FE6"/>
    <w:rsid w:val="00323472"/>
    <w:rsid w:val="00323A5C"/>
    <w:rsid w:val="00324ADA"/>
    <w:rsid w:val="00324CCA"/>
    <w:rsid w:val="003364EC"/>
    <w:rsid w:val="003370D1"/>
    <w:rsid w:val="003432D8"/>
    <w:rsid w:val="00345359"/>
    <w:rsid w:val="0034553C"/>
    <w:rsid w:val="00351B4C"/>
    <w:rsid w:val="00355C09"/>
    <w:rsid w:val="00356EDA"/>
    <w:rsid w:val="0036099C"/>
    <w:rsid w:val="00360C22"/>
    <w:rsid w:val="00362D38"/>
    <w:rsid w:val="003674AE"/>
    <w:rsid w:val="00376DDF"/>
    <w:rsid w:val="003909D3"/>
    <w:rsid w:val="00390B76"/>
    <w:rsid w:val="003943F7"/>
    <w:rsid w:val="003A18F0"/>
    <w:rsid w:val="003A31DF"/>
    <w:rsid w:val="003A692E"/>
    <w:rsid w:val="003B06C4"/>
    <w:rsid w:val="003B5141"/>
    <w:rsid w:val="003C14DC"/>
    <w:rsid w:val="003C18B9"/>
    <w:rsid w:val="003C498D"/>
    <w:rsid w:val="003D393E"/>
    <w:rsid w:val="003D6D66"/>
    <w:rsid w:val="003E1AFB"/>
    <w:rsid w:val="003E2F1D"/>
    <w:rsid w:val="003E5D19"/>
    <w:rsid w:val="003F078E"/>
    <w:rsid w:val="003F1ABD"/>
    <w:rsid w:val="003F4E07"/>
    <w:rsid w:val="004022BA"/>
    <w:rsid w:val="0040517D"/>
    <w:rsid w:val="004101EA"/>
    <w:rsid w:val="00411543"/>
    <w:rsid w:val="00414502"/>
    <w:rsid w:val="00420EF7"/>
    <w:rsid w:val="00425429"/>
    <w:rsid w:val="00430172"/>
    <w:rsid w:val="00430A1F"/>
    <w:rsid w:val="00430FA9"/>
    <w:rsid w:val="00432612"/>
    <w:rsid w:val="00441319"/>
    <w:rsid w:val="004440E0"/>
    <w:rsid w:val="004467C7"/>
    <w:rsid w:val="00454387"/>
    <w:rsid w:val="00455113"/>
    <w:rsid w:val="00455684"/>
    <w:rsid w:val="00460565"/>
    <w:rsid w:val="004621B8"/>
    <w:rsid w:val="00463865"/>
    <w:rsid w:val="00467C13"/>
    <w:rsid w:val="00472605"/>
    <w:rsid w:val="00473DE9"/>
    <w:rsid w:val="0048065D"/>
    <w:rsid w:val="004846B9"/>
    <w:rsid w:val="00493826"/>
    <w:rsid w:val="004947A7"/>
    <w:rsid w:val="0049505D"/>
    <w:rsid w:val="00496918"/>
    <w:rsid w:val="004A42A4"/>
    <w:rsid w:val="004A7F2D"/>
    <w:rsid w:val="004C29F5"/>
    <w:rsid w:val="004C78F1"/>
    <w:rsid w:val="004D2617"/>
    <w:rsid w:val="004E21AF"/>
    <w:rsid w:val="004E6BCA"/>
    <w:rsid w:val="004F05F2"/>
    <w:rsid w:val="004F2AC6"/>
    <w:rsid w:val="004F41D7"/>
    <w:rsid w:val="004F7184"/>
    <w:rsid w:val="00501071"/>
    <w:rsid w:val="005032AB"/>
    <w:rsid w:val="00523E99"/>
    <w:rsid w:val="00532D29"/>
    <w:rsid w:val="00541C59"/>
    <w:rsid w:val="00541E29"/>
    <w:rsid w:val="00546448"/>
    <w:rsid w:val="0055348A"/>
    <w:rsid w:val="00554DD7"/>
    <w:rsid w:val="00555540"/>
    <w:rsid w:val="005563DF"/>
    <w:rsid w:val="00560BC5"/>
    <w:rsid w:val="00567270"/>
    <w:rsid w:val="0056743E"/>
    <w:rsid w:val="00571533"/>
    <w:rsid w:val="0057695F"/>
    <w:rsid w:val="00582882"/>
    <w:rsid w:val="00587948"/>
    <w:rsid w:val="00587D18"/>
    <w:rsid w:val="00595293"/>
    <w:rsid w:val="00597F45"/>
    <w:rsid w:val="005B7FF6"/>
    <w:rsid w:val="005C2CE2"/>
    <w:rsid w:val="005D6572"/>
    <w:rsid w:val="005D7D20"/>
    <w:rsid w:val="005E250D"/>
    <w:rsid w:val="005E546A"/>
    <w:rsid w:val="005E5549"/>
    <w:rsid w:val="005E5C26"/>
    <w:rsid w:val="005F5392"/>
    <w:rsid w:val="005F7ED9"/>
    <w:rsid w:val="006005FB"/>
    <w:rsid w:val="006079EB"/>
    <w:rsid w:val="006204F5"/>
    <w:rsid w:val="006226BC"/>
    <w:rsid w:val="00623419"/>
    <w:rsid w:val="00625DAA"/>
    <w:rsid w:val="00627747"/>
    <w:rsid w:val="00627B43"/>
    <w:rsid w:val="00631680"/>
    <w:rsid w:val="006413D4"/>
    <w:rsid w:val="006478E2"/>
    <w:rsid w:val="0065087E"/>
    <w:rsid w:val="006541C5"/>
    <w:rsid w:val="00657CCC"/>
    <w:rsid w:val="0066071C"/>
    <w:rsid w:val="00673300"/>
    <w:rsid w:val="00690FEE"/>
    <w:rsid w:val="006928C1"/>
    <w:rsid w:val="00697661"/>
    <w:rsid w:val="006A2FDF"/>
    <w:rsid w:val="006A5E82"/>
    <w:rsid w:val="006B4DBF"/>
    <w:rsid w:val="006C1BE3"/>
    <w:rsid w:val="006C24D8"/>
    <w:rsid w:val="006C4F76"/>
    <w:rsid w:val="006C5D0F"/>
    <w:rsid w:val="006C7A99"/>
    <w:rsid w:val="006D047E"/>
    <w:rsid w:val="006D38B8"/>
    <w:rsid w:val="006D39F8"/>
    <w:rsid w:val="006D4B2F"/>
    <w:rsid w:val="006D4C7D"/>
    <w:rsid w:val="006E65C8"/>
    <w:rsid w:val="006F3B52"/>
    <w:rsid w:val="006F5702"/>
    <w:rsid w:val="00712A5B"/>
    <w:rsid w:val="00730C30"/>
    <w:rsid w:val="007323FC"/>
    <w:rsid w:val="00732E28"/>
    <w:rsid w:val="00734A9A"/>
    <w:rsid w:val="00735955"/>
    <w:rsid w:val="007416BB"/>
    <w:rsid w:val="007422B8"/>
    <w:rsid w:val="00747631"/>
    <w:rsid w:val="00751D03"/>
    <w:rsid w:val="007521A8"/>
    <w:rsid w:val="0075283A"/>
    <w:rsid w:val="007537C5"/>
    <w:rsid w:val="00762031"/>
    <w:rsid w:val="00767DD7"/>
    <w:rsid w:val="0077274A"/>
    <w:rsid w:val="00772EDF"/>
    <w:rsid w:val="00776E61"/>
    <w:rsid w:val="007774FD"/>
    <w:rsid w:val="0078448A"/>
    <w:rsid w:val="00784D54"/>
    <w:rsid w:val="0078510B"/>
    <w:rsid w:val="00785D01"/>
    <w:rsid w:val="00787294"/>
    <w:rsid w:val="0078773E"/>
    <w:rsid w:val="0079494B"/>
    <w:rsid w:val="00796B22"/>
    <w:rsid w:val="00796CB9"/>
    <w:rsid w:val="007A0B65"/>
    <w:rsid w:val="007A5530"/>
    <w:rsid w:val="007B43DD"/>
    <w:rsid w:val="007B64E7"/>
    <w:rsid w:val="007B6A65"/>
    <w:rsid w:val="007C18B1"/>
    <w:rsid w:val="007E1EE2"/>
    <w:rsid w:val="007E50D5"/>
    <w:rsid w:val="007F021B"/>
    <w:rsid w:val="007F1246"/>
    <w:rsid w:val="007F1703"/>
    <w:rsid w:val="007F191F"/>
    <w:rsid w:val="007F4DDB"/>
    <w:rsid w:val="00803890"/>
    <w:rsid w:val="00807516"/>
    <w:rsid w:val="0081457B"/>
    <w:rsid w:val="00816D1C"/>
    <w:rsid w:val="00817DA6"/>
    <w:rsid w:val="00823A24"/>
    <w:rsid w:val="0082581B"/>
    <w:rsid w:val="00830736"/>
    <w:rsid w:val="008309A4"/>
    <w:rsid w:val="00833ED6"/>
    <w:rsid w:val="00847E88"/>
    <w:rsid w:val="00855CD7"/>
    <w:rsid w:val="00863173"/>
    <w:rsid w:val="008639AA"/>
    <w:rsid w:val="00865424"/>
    <w:rsid w:val="00877766"/>
    <w:rsid w:val="00880E03"/>
    <w:rsid w:val="00884622"/>
    <w:rsid w:val="00890A9E"/>
    <w:rsid w:val="008A4A7C"/>
    <w:rsid w:val="008A75F0"/>
    <w:rsid w:val="008B2C82"/>
    <w:rsid w:val="008B3C50"/>
    <w:rsid w:val="008B5466"/>
    <w:rsid w:val="008B54C9"/>
    <w:rsid w:val="008B7693"/>
    <w:rsid w:val="008C7C3A"/>
    <w:rsid w:val="008D1ED0"/>
    <w:rsid w:val="008D6DC9"/>
    <w:rsid w:val="008D7F72"/>
    <w:rsid w:val="008F030A"/>
    <w:rsid w:val="008F28A2"/>
    <w:rsid w:val="00901EA2"/>
    <w:rsid w:val="0090439A"/>
    <w:rsid w:val="0090715B"/>
    <w:rsid w:val="00913A14"/>
    <w:rsid w:val="009141BA"/>
    <w:rsid w:val="00922C7D"/>
    <w:rsid w:val="00935A40"/>
    <w:rsid w:val="0093797C"/>
    <w:rsid w:val="009379BC"/>
    <w:rsid w:val="00944BB4"/>
    <w:rsid w:val="00945D45"/>
    <w:rsid w:val="009471F9"/>
    <w:rsid w:val="009665AE"/>
    <w:rsid w:val="009769BC"/>
    <w:rsid w:val="00982DA4"/>
    <w:rsid w:val="0098750C"/>
    <w:rsid w:val="00987548"/>
    <w:rsid w:val="0099729D"/>
    <w:rsid w:val="009A3A39"/>
    <w:rsid w:val="009A42A5"/>
    <w:rsid w:val="009A7BD2"/>
    <w:rsid w:val="009B7E9A"/>
    <w:rsid w:val="009C4F0A"/>
    <w:rsid w:val="009C676C"/>
    <w:rsid w:val="009D37A0"/>
    <w:rsid w:val="009E05DA"/>
    <w:rsid w:val="009E070F"/>
    <w:rsid w:val="009E283D"/>
    <w:rsid w:val="009F079A"/>
    <w:rsid w:val="009F0E4B"/>
    <w:rsid w:val="009F42A9"/>
    <w:rsid w:val="009F5D9C"/>
    <w:rsid w:val="00A018ED"/>
    <w:rsid w:val="00A10014"/>
    <w:rsid w:val="00A13114"/>
    <w:rsid w:val="00A1587A"/>
    <w:rsid w:val="00A22239"/>
    <w:rsid w:val="00A301BF"/>
    <w:rsid w:val="00A32CC3"/>
    <w:rsid w:val="00A37F03"/>
    <w:rsid w:val="00A44772"/>
    <w:rsid w:val="00A46D4D"/>
    <w:rsid w:val="00A508C9"/>
    <w:rsid w:val="00A52D8D"/>
    <w:rsid w:val="00A536F9"/>
    <w:rsid w:val="00A576A0"/>
    <w:rsid w:val="00A6435E"/>
    <w:rsid w:val="00A67AD6"/>
    <w:rsid w:val="00A72704"/>
    <w:rsid w:val="00A7764D"/>
    <w:rsid w:val="00A77653"/>
    <w:rsid w:val="00A801FD"/>
    <w:rsid w:val="00A84D1D"/>
    <w:rsid w:val="00AA4FB6"/>
    <w:rsid w:val="00AB2742"/>
    <w:rsid w:val="00AC00B6"/>
    <w:rsid w:val="00AC01F7"/>
    <w:rsid w:val="00AC4B35"/>
    <w:rsid w:val="00AC5668"/>
    <w:rsid w:val="00AD5F99"/>
    <w:rsid w:val="00AD725C"/>
    <w:rsid w:val="00AD7F84"/>
    <w:rsid w:val="00AE011F"/>
    <w:rsid w:val="00AE4DE9"/>
    <w:rsid w:val="00AF24AD"/>
    <w:rsid w:val="00AF650E"/>
    <w:rsid w:val="00AF7C57"/>
    <w:rsid w:val="00B019BB"/>
    <w:rsid w:val="00B038B0"/>
    <w:rsid w:val="00B114E1"/>
    <w:rsid w:val="00B120FB"/>
    <w:rsid w:val="00B13B31"/>
    <w:rsid w:val="00B13E06"/>
    <w:rsid w:val="00B147E4"/>
    <w:rsid w:val="00B163F3"/>
    <w:rsid w:val="00B20D41"/>
    <w:rsid w:val="00B21F8F"/>
    <w:rsid w:val="00B230E8"/>
    <w:rsid w:val="00B40B31"/>
    <w:rsid w:val="00B43EE5"/>
    <w:rsid w:val="00B44AF5"/>
    <w:rsid w:val="00B47CA2"/>
    <w:rsid w:val="00B50FA0"/>
    <w:rsid w:val="00B51249"/>
    <w:rsid w:val="00B559E1"/>
    <w:rsid w:val="00B5739F"/>
    <w:rsid w:val="00B6338A"/>
    <w:rsid w:val="00B72D61"/>
    <w:rsid w:val="00B7387F"/>
    <w:rsid w:val="00B76219"/>
    <w:rsid w:val="00B91E25"/>
    <w:rsid w:val="00B95164"/>
    <w:rsid w:val="00BA33F5"/>
    <w:rsid w:val="00BA6F00"/>
    <w:rsid w:val="00BB18C8"/>
    <w:rsid w:val="00BB5933"/>
    <w:rsid w:val="00BD097B"/>
    <w:rsid w:val="00BD151E"/>
    <w:rsid w:val="00BD2537"/>
    <w:rsid w:val="00BE2C5C"/>
    <w:rsid w:val="00BE6E7F"/>
    <w:rsid w:val="00BF179A"/>
    <w:rsid w:val="00BF514E"/>
    <w:rsid w:val="00BF6BE7"/>
    <w:rsid w:val="00C0067F"/>
    <w:rsid w:val="00C017DC"/>
    <w:rsid w:val="00C051A3"/>
    <w:rsid w:val="00C1192C"/>
    <w:rsid w:val="00C140CD"/>
    <w:rsid w:val="00C15F2A"/>
    <w:rsid w:val="00C20F1C"/>
    <w:rsid w:val="00C22FDE"/>
    <w:rsid w:val="00C238AA"/>
    <w:rsid w:val="00C314D5"/>
    <w:rsid w:val="00C404C9"/>
    <w:rsid w:val="00C4178C"/>
    <w:rsid w:val="00C45465"/>
    <w:rsid w:val="00C464A3"/>
    <w:rsid w:val="00C472CE"/>
    <w:rsid w:val="00C561F6"/>
    <w:rsid w:val="00C5638D"/>
    <w:rsid w:val="00C57C00"/>
    <w:rsid w:val="00C65D7C"/>
    <w:rsid w:val="00C66CE1"/>
    <w:rsid w:val="00C67988"/>
    <w:rsid w:val="00C74DFD"/>
    <w:rsid w:val="00C7542D"/>
    <w:rsid w:val="00C80549"/>
    <w:rsid w:val="00C84279"/>
    <w:rsid w:val="00C90ABF"/>
    <w:rsid w:val="00C92A36"/>
    <w:rsid w:val="00C9307A"/>
    <w:rsid w:val="00C9554C"/>
    <w:rsid w:val="00C96ADF"/>
    <w:rsid w:val="00CA064B"/>
    <w:rsid w:val="00CA4840"/>
    <w:rsid w:val="00CA77C4"/>
    <w:rsid w:val="00CB645F"/>
    <w:rsid w:val="00CB6C27"/>
    <w:rsid w:val="00CC0D85"/>
    <w:rsid w:val="00CD1784"/>
    <w:rsid w:val="00CD61F7"/>
    <w:rsid w:val="00CD6350"/>
    <w:rsid w:val="00CE006A"/>
    <w:rsid w:val="00CE4BDE"/>
    <w:rsid w:val="00CE6744"/>
    <w:rsid w:val="00D012E6"/>
    <w:rsid w:val="00D110BA"/>
    <w:rsid w:val="00D13D26"/>
    <w:rsid w:val="00D15055"/>
    <w:rsid w:val="00D16488"/>
    <w:rsid w:val="00D3156A"/>
    <w:rsid w:val="00D3406B"/>
    <w:rsid w:val="00D4105B"/>
    <w:rsid w:val="00D41400"/>
    <w:rsid w:val="00D41FA2"/>
    <w:rsid w:val="00D4438C"/>
    <w:rsid w:val="00D45068"/>
    <w:rsid w:val="00D47AD2"/>
    <w:rsid w:val="00D551ED"/>
    <w:rsid w:val="00D60899"/>
    <w:rsid w:val="00D60C99"/>
    <w:rsid w:val="00D617BF"/>
    <w:rsid w:val="00D62EC7"/>
    <w:rsid w:val="00D66505"/>
    <w:rsid w:val="00D66EC6"/>
    <w:rsid w:val="00D73238"/>
    <w:rsid w:val="00D73661"/>
    <w:rsid w:val="00D73874"/>
    <w:rsid w:val="00D74431"/>
    <w:rsid w:val="00D92AC9"/>
    <w:rsid w:val="00D95BA8"/>
    <w:rsid w:val="00DA3FEF"/>
    <w:rsid w:val="00DA4590"/>
    <w:rsid w:val="00DA7008"/>
    <w:rsid w:val="00DB2C93"/>
    <w:rsid w:val="00DC0DAC"/>
    <w:rsid w:val="00DC1589"/>
    <w:rsid w:val="00DC19CD"/>
    <w:rsid w:val="00DC2A64"/>
    <w:rsid w:val="00DC6946"/>
    <w:rsid w:val="00DD04A0"/>
    <w:rsid w:val="00DD2F8E"/>
    <w:rsid w:val="00DE2354"/>
    <w:rsid w:val="00DE5B64"/>
    <w:rsid w:val="00DF11C3"/>
    <w:rsid w:val="00DF5BDE"/>
    <w:rsid w:val="00E01FB1"/>
    <w:rsid w:val="00E02FB6"/>
    <w:rsid w:val="00E060E9"/>
    <w:rsid w:val="00E1072C"/>
    <w:rsid w:val="00E10B6D"/>
    <w:rsid w:val="00E14FED"/>
    <w:rsid w:val="00E16429"/>
    <w:rsid w:val="00E230E5"/>
    <w:rsid w:val="00E24453"/>
    <w:rsid w:val="00E30BF5"/>
    <w:rsid w:val="00E336CD"/>
    <w:rsid w:val="00E365A2"/>
    <w:rsid w:val="00E536AB"/>
    <w:rsid w:val="00E54A7E"/>
    <w:rsid w:val="00E66D2A"/>
    <w:rsid w:val="00E77D97"/>
    <w:rsid w:val="00E81508"/>
    <w:rsid w:val="00E8326E"/>
    <w:rsid w:val="00E840CE"/>
    <w:rsid w:val="00E943CC"/>
    <w:rsid w:val="00E94716"/>
    <w:rsid w:val="00E961E3"/>
    <w:rsid w:val="00E973C9"/>
    <w:rsid w:val="00EA2451"/>
    <w:rsid w:val="00EA5037"/>
    <w:rsid w:val="00EA5FB6"/>
    <w:rsid w:val="00EA6AA1"/>
    <w:rsid w:val="00EB1C80"/>
    <w:rsid w:val="00EC4CC0"/>
    <w:rsid w:val="00ED2677"/>
    <w:rsid w:val="00ED46E7"/>
    <w:rsid w:val="00EE18BA"/>
    <w:rsid w:val="00EE2329"/>
    <w:rsid w:val="00EE490B"/>
    <w:rsid w:val="00EE7267"/>
    <w:rsid w:val="00EF1EC8"/>
    <w:rsid w:val="00EF51C4"/>
    <w:rsid w:val="00EF7F3A"/>
    <w:rsid w:val="00F12C81"/>
    <w:rsid w:val="00F151DE"/>
    <w:rsid w:val="00F16253"/>
    <w:rsid w:val="00F22445"/>
    <w:rsid w:val="00F237B2"/>
    <w:rsid w:val="00F244FF"/>
    <w:rsid w:val="00F30A46"/>
    <w:rsid w:val="00F329B7"/>
    <w:rsid w:val="00F40748"/>
    <w:rsid w:val="00F40A2E"/>
    <w:rsid w:val="00F437E8"/>
    <w:rsid w:val="00F4389E"/>
    <w:rsid w:val="00F44444"/>
    <w:rsid w:val="00F51761"/>
    <w:rsid w:val="00F51BA3"/>
    <w:rsid w:val="00F52862"/>
    <w:rsid w:val="00F5572F"/>
    <w:rsid w:val="00F606F6"/>
    <w:rsid w:val="00F6071A"/>
    <w:rsid w:val="00F744E4"/>
    <w:rsid w:val="00F753DD"/>
    <w:rsid w:val="00F76905"/>
    <w:rsid w:val="00F82933"/>
    <w:rsid w:val="00F96F3E"/>
    <w:rsid w:val="00F97DF4"/>
    <w:rsid w:val="00FA3C8F"/>
    <w:rsid w:val="00FA7F87"/>
    <w:rsid w:val="00FB0294"/>
    <w:rsid w:val="00FB77FB"/>
    <w:rsid w:val="00FC7244"/>
    <w:rsid w:val="00FC7498"/>
    <w:rsid w:val="00FD0264"/>
    <w:rsid w:val="00FD0A1E"/>
    <w:rsid w:val="00FD0EBC"/>
    <w:rsid w:val="00FD11BE"/>
    <w:rsid w:val="00FD4545"/>
    <w:rsid w:val="00FD5AC6"/>
    <w:rsid w:val="00FD6B5B"/>
    <w:rsid w:val="00FE1E11"/>
    <w:rsid w:val="00FE3C7A"/>
    <w:rsid w:val="00FE65BC"/>
    <w:rsid w:val="00FF0FF2"/>
    <w:rsid w:val="00FF6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6F2554"/>
  <w15:docId w15:val="{2AA33E6B-1BAC-4817-B2AE-C953DB43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D97"/>
  </w:style>
  <w:style w:type="paragraph" w:styleId="Heading1">
    <w:name w:val="heading 1"/>
    <w:basedOn w:val="Normal"/>
    <w:next w:val="Normal"/>
    <w:link w:val="Heading1Char"/>
    <w:uiPriority w:val="9"/>
    <w:qFormat/>
    <w:rsid w:val="00061F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69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E2B3F"/>
    <w:pPr>
      <w:spacing w:after="240" w:line="240" w:lineRule="auto"/>
      <w:outlineLvl w:val="2"/>
    </w:pPr>
    <w:rPr>
      <w:rFonts w:ascii="Times New Roman" w:eastAsia="Times New Roman" w:hAnsi="Times New Roman" w:cs="Times New Roman"/>
      <w:b/>
      <w:bCs/>
      <w:color w:val="111315"/>
      <w:sz w:val="30"/>
      <w:szCs w:val="30"/>
    </w:rPr>
  </w:style>
  <w:style w:type="paragraph" w:styleId="Heading4">
    <w:name w:val="heading 4"/>
    <w:basedOn w:val="Normal"/>
    <w:next w:val="Normal"/>
    <w:link w:val="Heading4Char"/>
    <w:uiPriority w:val="9"/>
    <w:unhideWhenUsed/>
    <w:qFormat/>
    <w:rsid w:val="0086317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76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653"/>
  </w:style>
  <w:style w:type="paragraph" w:styleId="Footer">
    <w:name w:val="footer"/>
    <w:basedOn w:val="Normal"/>
    <w:link w:val="FooterChar"/>
    <w:uiPriority w:val="99"/>
    <w:unhideWhenUsed/>
    <w:rsid w:val="00A776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653"/>
  </w:style>
  <w:style w:type="paragraph" w:styleId="BalloonText">
    <w:name w:val="Balloon Text"/>
    <w:basedOn w:val="Normal"/>
    <w:link w:val="BalloonTextChar"/>
    <w:uiPriority w:val="99"/>
    <w:semiHidden/>
    <w:unhideWhenUsed/>
    <w:rsid w:val="00A7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653"/>
    <w:rPr>
      <w:rFonts w:ascii="Tahoma" w:hAnsi="Tahoma" w:cs="Tahoma"/>
      <w:sz w:val="16"/>
      <w:szCs w:val="16"/>
    </w:rPr>
  </w:style>
  <w:style w:type="paragraph" w:styleId="NormalWeb">
    <w:name w:val="Normal (Web)"/>
    <w:basedOn w:val="Normal"/>
    <w:uiPriority w:val="99"/>
    <w:unhideWhenUsed/>
    <w:rsid w:val="00324CC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554C"/>
    <w:pPr>
      <w:ind w:left="720"/>
      <w:contextualSpacing/>
    </w:pPr>
  </w:style>
  <w:style w:type="character" w:styleId="Hyperlink">
    <w:name w:val="Hyperlink"/>
    <w:basedOn w:val="DefaultParagraphFont"/>
    <w:uiPriority w:val="99"/>
    <w:unhideWhenUsed/>
    <w:rsid w:val="00430172"/>
    <w:rPr>
      <w:color w:val="0000FF" w:themeColor="hyperlink"/>
      <w:u w:val="single"/>
    </w:rPr>
  </w:style>
  <w:style w:type="character" w:customStyle="1" w:styleId="Heading3Char">
    <w:name w:val="Heading 3 Char"/>
    <w:basedOn w:val="DefaultParagraphFont"/>
    <w:link w:val="Heading3"/>
    <w:uiPriority w:val="9"/>
    <w:rsid w:val="002E2B3F"/>
    <w:rPr>
      <w:rFonts w:ascii="Times New Roman" w:eastAsia="Times New Roman" w:hAnsi="Times New Roman" w:cs="Times New Roman"/>
      <w:b/>
      <w:bCs/>
      <w:color w:val="111315"/>
      <w:sz w:val="30"/>
      <w:szCs w:val="30"/>
    </w:rPr>
  </w:style>
  <w:style w:type="character" w:styleId="Emphasis">
    <w:name w:val="Emphasis"/>
    <w:basedOn w:val="DefaultParagraphFont"/>
    <w:uiPriority w:val="20"/>
    <w:qFormat/>
    <w:rsid w:val="002E2B3F"/>
    <w:rPr>
      <w:i/>
      <w:iCs/>
    </w:rPr>
  </w:style>
  <w:style w:type="character" w:customStyle="1" w:styleId="dropcap1">
    <w:name w:val="dropcap1"/>
    <w:basedOn w:val="DefaultParagraphFont"/>
    <w:rsid w:val="002E2B3F"/>
    <w:rPr>
      <w:rFonts w:ascii="Georgia" w:hAnsi="Georgia" w:hint="default"/>
      <w:b/>
      <w:bCs/>
      <w:sz w:val="37"/>
      <w:szCs w:val="37"/>
    </w:rPr>
  </w:style>
  <w:style w:type="character" w:styleId="FollowedHyperlink">
    <w:name w:val="FollowedHyperlink"/>
    <w:basedOn w:val="DefaultParagraphFont"/>
    <w:uiPriority w:val="99"/>
    <w:semiHidden/>
    <w:unhideWhenUsed/>
    <w:rsid w:val="007F191F"/>
    <w:rPr>
      <w:color w:val="800080" w:themeColor="followedHyperlink"/>
      <w:u w:val="single"/>
    </w:rPr>
  </w:style>
  <w:style w:type="paragraph" w:styleId="FootnoteText">
    <w:name w:val="footnote text"/>
    <w:basedOn w:val="Normal"/>
    <w:link w:val="FootnoteTextChar"/>
    <w:uiPriority w:val="99"/>
    <w:semiHidden/>
    <w:unhideWhenUsed/>
    <w:rsid w:val="00162B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2B72"/>
    <w:rPr>
      <w:sz w:val="20"/>
      <w:szCs w:val="20"/>
    </w:rPr>
  </w:style>
  <w:style w:type="character" w:styleId="FootnoteReference">
    <w:name w:val="footnote reference"/>
    <w:basedOn w:val="DefaultParagraphFont"/>
    <w:uiPriority w:val="99"/>
    <w:semiHidden/>
    <w:unhideWhenUsed/>
    <w:rsid w:val="00162B72"/>
    <w:rPr>
      <w:vertAlign w:val="superscript"/>
    </w:rPr>
  </w:style>
  <w:style w:type="paragraph" w:customStyle="1" w:styleId="serif">
    <w:name w:val="serif"/>
    <w:basedOn w:val="Normal"/>
    <w:rsid w:val="00162B72"/>
    <w:pPr>
      <w:spacing w:after="307" w:line="240" w:lineRule="auto"/>
    </w:pPr>
    <w:rPr>
      <w:rFonts w:ascii="Georgia" w:eastAsia="Times New Roman" w:hAnsi="Georgia" w:cs="Times New Roman"/>
      <w:sz w:val="23"/>
      <w:szCs w:val="23"/>
    </w:rPr>
  </w:style>
  <w:style w:type="character" w:styleId="Strong">
    <w:name w:val="Strong"/>
    <w:basedOn w:val="DefaultParagraphFont"/>
    <w:uiPriority w:val="22"/>
    <w:qFormat/>
    <w:rsid w:val="00162B72"/>
    <w:rPr>
      <w:b/>
      <w:bCs/>
    </w:rPr>
  </w:style>
  <w:style w:type="character" w:styleId="CommentReference">
    <w:name w:val="annotation reference"/>
    <w:basedOn w:val="DefaultParagraphFont"/>
    <w:uiPriority w:val="99"/>
    <w:semiHidden/>
    <w:unhideWhenUsed/>
    <w:rsid w:val="00762031"/>
    <w:rPr>
      <w:sz w:val="16"/>
      <w:szCs w:val="16"/>
    </w:rPr>
  </w:style>
  <w:style w:type="paragraph" w:styleId="CommentText">
    <w:name w:val="annotation text"/>
    <w:basedOn w:val="Normal"/>
    <w:link w:val="CommentTextChar"/>
    <w:uiPriority w:val="99"/>
    <w:semiHidden/>
    <w:unhideWhenUsed/>
    <w:rsid w:val="00762031"/>
    <w:pPr>
      <w:spacing w:line="240" w:lineRule="auto"/>
    </w:pPr>
    <w:rPr>
      <w:sz w:val="20"/>
      <w:szCs w:val="20"/>
    </w:rPr>
  </w:style>
  <w:style w:type="character" w:customStyle="1" w:styleId="CommentTextChar">
    <w:name w:val="Comment Text Char"/>
    <w:basedOn w:val="DefaultParagraphFont"/>
    <w:link w:val="CommentText"/>
    <w:uiPriority w:val="99"/>
    <w:semiHidden/>
    <w:rsid w:val="00762031"/>
    <w:rPr>
      <w:sz w:val="20"/>
      <w:szCs w:val="20"/>
    </w:rPr>
  </w:style>
  <w:style w:type="paragraph" w:styleId="CommentSubject">
    <w:name w:val="annotation subject"/>
    <w:basedOn w:val="CommentText"/>
    <w:next w:val="CommentText"/>
    <w:link w:val="CommentSubjectChar"/>
    <w:uiPriority w:val="99"/>
    <w:semiHidden/>
    <w:unhideWhenUsed/>
    <w:rsid w:val="00762031"/>
    <w:rPr>
      <w:b/>
      <w:bCs/>
    </w:rPr>
  </w:style>
  <w:style w:type="character" w:customStyle="1" w:styleId="CommentSubjectChar">
    <w:name w:val="Comment Subject Char"/>
    <w:basedOn w:val="CommentTextChar"/>
    <w:link w:val="CommentSubject"/>
    <w:uiPriority w:val="99"/>
    <w:semiHidden/>
    <w:rsid w:val="00762031"/>
    <w:rPr>
      <w:b/>
      <w:bCs/>
      <w:sz w:val="20"/>
      <w:szCs w:val="20"/>
    </w:rPr>
  </w:style>
  <w:style w:type="character" w:customStyle="1" w:styleId="Heading1Char">
    <w:name w:val="Heading 1 Char"/>
    <w:basedOn w:val="DefaultParagraphFont"/>
    <w:link w:val="Heading1"/>
    <w:uiPriority w:val="9"/>
    <w:rsid w:val="00061F6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61F6B"/>
    <w:pPr>
      <w:spacing w:after="0" w:line="240" w:lineRule="auto"/>
      <w:jc w:val="center"/>
    </w:pPr>
    <w:rPr>
      <w:rFonts w:ascii="Times New Roman" w:eastAsia="Times New Roman" w:hAnsi="Times New Roman" w:cs="Times New Roman"/>
      <w:b/>
      <w:bCs/>
      <w:sz w:val="32"/>
      <w:szCs w:val="24"/>
      <w:u w:val="single"/>
      <w:lang w:val="en-CA"/>
    </w:rPr>
  </w:style>
  <w:style w:type="character" w:customStyle="1" w:styleId="TitleChar">
    <w:name w:val="Title Char"/>
    <w:basedOn w:val="DefaultParagraphFont"/>
    <w:link w:val="Title"/>
    <w:rsid w:val="00061F6B"/>
    <w:rPr>
      <w:rFonts w:ascii="Times New Roman" w:eastAsia="Times New Roman" w:hAnsi="Times New Roman" w:cs="Times New Roman"/>
      <w:b/>
      <w:bCs/>
      <w:sz w:val="32"/>
      <w:szCs w:val="24"/>
      <w:u w:val="single"/>
      <w:lang w:val="en-CA"/>
    </w:rPr>
  </w:style>
  <w:style w:type="paragraph" w:styleId="Subtitle">
    <w:name w:val="Subtitle"/>
    <w:basedOn w:val="Normal"/>
    <w:link w:val="SubtitleChar"/>
    <w:qFormat/>
    <w:rsid w:val="00061F6B"/>
    <w:pPr>
      <w:spacing w:after="0" w:line="240" w:lineRule="auto"/>
    </w:pPr>
    <w:rPr>
      <w:rFonts w:ascii="Times New Roman" w:eastAsia="Times New Roman" w:hAnsi="Times New Roman" w:cs="Times New Roman"/>
      <w:i/>
      <w:iCs/>
      <w:sz w:val="24"/>
      <w:szCs w:val="24"/>
      <w:lang w:val="en-CA"/>
    </w:rPr>
  </w:style>
  <w:style w:type="character" w:customStyle="1" w:styleId="SubtitleChar">
    <w:name w:val="Subtitle Char"/>
    <w:basedOn w:val="DefaultParagraphFont"/>
    <w:link w:val="Subtitle"/>
    <w:rsid w:val="00061F6B"/>
    <w:rPr>
      <w:rFonts w:ascii="Times New Roman" w:eastAsia="Times New Roman" w:hAnsi="Times New Roman" w:cs="Times New Roman"/>
      <w:i/>
      <w:iCs/>
      <w:sz w:val="24"/>
      <w:szCs w:val="24"/>
      <w:lang w:val="en-CA"/>
    </w:rPr>
  </w:style>
  <w:style w:type="character" w:customStyle="1" w:styleId="date-display-single">
    <w:name w:val="date-display-single"/>
    <w:basedOn w:val="DefaultParagraphFont"/>
    <w:rsid w:val="00E973C9"/>
  </w:style>
  <w:style w:type="paragraph" w:styleId="NoSpacing">
    <w:name w:val="No Spacing"/>
    <w:uiPriority w:val="1"/>
    <w:qFormat/>
    <w:rsid w:val="005563DF"/>
    <w:pPr>
      <w:spacing w:after="0" w:line="240" w:lineRule="auto"/>
    </w:pPr>
    <w:rPr>
      <w:rFonts w:ascii="Calibri" w:eastAsia="Calibri" w:hAnsi="Calibri" w:cs="Times New Roman"/>
    </w:rPr>
  </w:style>
  <w:style w:type="paragraph" w:customStyle="1" w:styleId="section-e">
    <w:name w:val="section-e"/>
    <w:basedOn w:val="Normal"/>
    <w:rsid w:val="006204F5"/>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headnote-e">
    <w:name w:val="headnote-e"/>
    <w:basedOn w:val="Normal"/>
    <w:rsid w:val="006204F5"/>
    <w:pPr>
      <w:keepNext/>
      <w:snapToGrid w:val="0"/>
      <w:spacing w:after="0" w:line="240" w:lineRule="auto"/>
    </w:pPr>
    <w:rPr>
      <w:rFonts w:ascii="Times New Roman" w:eastAsia="Times New Roman" w:hAnsi="Times New Roman" w:cs="Times New Roman"/>
      <w:b/>
      <w:bCs/>
      <w:color w:val="000000"/>
      <w:sz w:val="26"/>
      <w:szCs w:val="26"/>
    </w:rPr>
  </w:style>
  <w:style w:type="paragraph" w:styleId="TOCHeading">
    <w:name w:val="TOC Heading"/>
    <w:basedOn w:val="Heading1"/>
    <w:next w:val="Normal"/>
    <w:uiPriority w:val="39"/>
    <w:unhideWhenUsed/>
    <w:qFormat/>
    <w:rsid w:val="00BD151E"/>
    <w:pPr>
      <w:outlineLvl w:val="9"/>
    </w:pPr>
  </w:style>
  <w:style w:type="paragraph" w:styleId="TOC3">
    <w:name w:val="toc 3"/>
    <w:basedOn w:val="Normal"/>
    <w:next w:val="Normal"/>
    <w:autoRedefine/>
    <w:uiPriority w:val="39"/>
    <w:unhideWhenUsed/>
    <w:qFormat/>
    <w:rsid w:val="00BD151E"/>
    <w:pPr>
      <w:spacing w:after="100"/>
      <w:ind w:left="440"/>
    </w:pPr>
  </w:style>
  <w:style w:type="paragraph" w:styleId="TOC1">
    <w:name w:val="toc 1"/>
    <w:basedOn w:val="Normal"/>
    <w:next w:val="Normal"/>
    <w:autoRedefine/>
    <w:uiPriority w:val="39"/>
    <w:unhideWhenUsed/>
    <w:qFormat/>
    <w:rsid w:val="003432D8"/>
    <w:pPr>
      <w:tabs>
        <w:tab w:val="left" w:pos="1100"/>
        <w:tab w:val="right" w:leader="dot" w:pos="9350"/>
      </w:tabs>
      <w:spacing w:after="100"/>
    </w:pPr>
    <w:rPr>
      <w:b/>
      <w:noProof/>
      <w:sz w:val="24"/>
      <w:szCs w:val="24"/>
    </w:rPr>
  </w:style>
  <w:style w:type="character" w:customStyle="1" w:styleId="Heading2Char">
    <w:name w:val="Heading 2 Char"/>
    <w:basedOn w:val="DefaultParagraphFont"/>
    <w:link w:val="Heading2"/>
    <w:uiPriority w:val="9"/>
    <w:rsid w:val="009769BC"/>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3432D8"/>
    <w:pPr>
      <w:tabs>
        <w:tab w:val="right" w:leader="dot" w:pos="9350"/>
      </w:tabs>
      <w:spacing w:after="100" w:line="240" w:lineRule="auto"/>
      <w:ind w:left="720"/>
    </w:pPr>
    <w:rPr>
      <w:rFonts w:eastAsia="Times New Roman"/>
      <w:noProof/>
      <w:sz w:val="28"/>
      <w:szCs w:val="28"/>
    </w:rPr>
  </w:style>
  <w:style w:type="table" w:styleId="LightShading-Accent1">
    <w:name w:val="Light Shading Accent 1"/>
    <w:basedOn w:val="TableNormal"/>
    <w:uiPriority w:val="60"/>
    <w:rsid w:val="00FE3C7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AF24AD"/>
  </w:style>
  <w:style w:type="character" w:customStyle="1" w:styleId="Heading4Char">
    <w:name w:val="Heading 4 Char"/>
    <w:basedOn w:val="DefaultParagraphFont"/>
    <w:link w:val="Heading4"/>
    <w:uiPriority w:val="9"/>
    <w:rsid w:val="00863173"/>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201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5992">
      <w:bodyDiv w:val="1"/>
      <w:marLeft w:val="0"/>
      <w:marRight w:val="0"/>
      <w:marTop w:val="0"/>
      <w:marBottom w:val="0"/>
      <w:divBdr>
        <w:top w:val="none" w:sz="0" w:space="0" w:color="auto"/>
        <w:left w:val="none" w:sz="0" w:space="0" w:color="auto"/>
        <w:bottom w:val="none" w:sz="0" w:space="0" w:color="auto"/>
        <w:right w:val="none" w:sz="0" w:space="0" w:color="auto"/>
      </w:divBdr>
    </w:div>
    <w:div w:id="342367818">
      <w:bodyDiv w:val="1"/>
      <w:marLeft w:val="0"/>
      <w:marRight w:val="0"/>
      <w:marTop w:val="0"/>
      <w:marBottom w:val="0"/>
      <w:divBdr>
        <w:top w:val="none" w:sz="0" w:space="0" w:color="auto"/>
        <w:left w:val="none" w:sz="0" w:space="0" w:color="auto"/>
        <w:bottom w:val="none" w:sz="0" w:space="0" w:color="auto"/>
        <w:right w:val="none" w:sz="0" w:space="0" w:color="auto"/>
      </w:divBdr>
      <w:divsChild>
        <w:div w:id="1994604172">
          <w:marLeft w:val="0"/>
          <w:marRight w:val="0"/>
          <w:marTop w:val="100"/>
          <w:marBottom w:val="100"/>
          <w:divBdr>
            <w:top w:val="none" w:sz="0" w:space="0" w:color="auto"/>
            <w:left w:val="none" w:sz="0" w:space="0" w:color="auto"/>
            <w:bottom w:val="none" w:sz="0" w:space="0" w:color="auto"/>
            <w:right w:val="none" w:sz="0" w:space="0" w:color="auto"/>
          </w:divBdr>
          <w:divsChild>
            <w:div w:id="734544290">
              <w:marLeft w:val="0"/>
              <w:marRight w:val="0"/>
              <w:marTop w:val="0"/>
              <w:marBottom w:val="0"/>
              <w:divBdr>
                <w:top w:val="none" w:sz="0" w:space="0" w:color="auto"/>
                <w:left w:val="none" w:sz="0" w:space="0" w:color="auto"/>
                <w:bottom w:val="none" w:sz="0" w:space="0" w:color="auto"/>
                <w:right w:val="none" w:sz="0" w:space="0" w:color="auto"/>
              </w:divBdr>
              <w:divsChild>
                <w:div w:id="994188368">
                  <w:marLeft w:val="0"/>
                  <w:marRight w:val="0"/>
                  <w:marTop w:val="0"/>
                  <w:marBottom w:val="0"/>
                  <w:divBdr>
                    <w:top w:val="none" w:sz="0" w:space="0" w:color="auto"/>
                    <w:left w:val="none" w:sz="0" w:space="0" w:color="auto"/>
                    <w:bottom w:val="none" w:sz="0" w:space="0" w:color="auto"/>
                    <w:right w:val="none" w:sz="0" w:space="0" w:color="auto"/>
                  </w:divBdr>
                  <w:divsChild>
                    <w:div w:id="582373166">
                      <w:marLeft w:val="0"/>
                      <w:marRight w:val="0"/>
                      <w:marTop w:val="0"/>
                      <w:marBottom w:val="0"/>
                      <w:divBdr>
                        <w:top w:val="none" w:sz="0" w:space="0" w:color="auto"/>
                        <w:left w:val="none" w:sz="0" w:space="0" w:color="auto"/>
                        <w:bottom w:val="none" w:sz="0" w:space="0" w:color="auto"/>
                        <w:right w:val="none" w:sz="0" w:space="0" w:color="auto"/>
                      </w:divBdr>
                      <w:divsChild>
                        <w:div w:id="17973273">
                          <w:marLeft w:val="0"/>
                          <w:marRight w:val="0"/>
                          <w:marTop w:val="0"/>
                          <w:marBottom w:val="0"/>
                          <w:divBdr>
                            <w:top w:val="none" w:sz="0" w:space="0" w:color="auto"/>
                            <w:left w:val="none" w:sz="0" w:space="0" w:color="auto"/>
                            <w:bottom w:val="none" w:sz="0" w:space="0" w:color="auto"/>
                            <w:right w:val="none" w:sz="0" w:space="0" w:color="auto"/>
                          </w:divBdr>
                          <w:divsChild>
                            <w:div w:id="1995329235">
                              <w:marLeft w:val="0"/>
                              <w:marRight w:val="0"/>
                              <w:marTop w:val="0"/>
                              <w:marBottom w:val="0"/>
                              <w:divBdr>
                                <w:top w:val="none" w:sz="0" w:space="0" w:color="auto"/>
                                <w:left w:val="none" w:sz="0" w:space="0" w:color="auto"/>
                                <w:bottom w:val="none" w:sz="0" w:space="0" w:color="auto"/>
                                <w:right w:val="none" w:sz="0" w:space="0" w:color="auto"/>
                              </w:divBdr>
                              <w:divsChild>
                                <w:div w:id="1644508935">
                                  <w:marLeft w:val="0"/>
                                  <w:marRight w:val="0"/>
                                  <w:marTop w:val="0"/>
                                  <w:marBottom w:val="0"/>
                                  <w:divBdr>
                                    <w:top w:val="none" w:sz="0" w:space="0" w:color="auto"/>
                                    <w:left w:val="none" w:sz="0" w:space="0" w:color="auto"/>
                                    <w:bottom w:val="none" w:sz="0" w:space="0" w:color="auto"/>
                                    <w:right w:val="none" w:sz="0" w:space="0" w:color="auto"/>
                                  </w:divBdr>
                                </w:div>
                                <w:div w:id="154689322">
                                  <w:marLeft w:val="0"/>
                                  <w:marRight w:val="0"/>
                                  <w:marTop w:val="0"/>
                                  <w:marBottom w:val="0"/>
                                  <w:divBdr>
                                    <w:top w:val="none" w:sz="0" w:space="0" w:color="auto"/>
                                    <w:left w:val="none" w:sz="0" w:space="0" w:color="auto"/>
                                    <w:bottom w:val="none" w:sz="0" w:space="0" w:color="auto"/>
                                    <w:right w:val="none" w:sz="0" w:space="0" w:color="auto"/>
                                  </w:divBdr>
                                  <w:divsChild>
                                    <w:div w:id="685595186">
                                      <w:marLeft w:val="0"/>
                                      <w:marRight w:val="0"/>
                                      <w:marTop w:val="0"/>
                                      <w:marBottom w:val="0"/>
                                      <w:divBdr>
                                        <w:top w:val="none" w:sz="0" w:space="0" w:color="auto"/>
                                        <w:left w:val="none" w:sz="0" w:space="0" w:color="auto"/>
                                        <w:bottom w:val="none" w:sz="0" w:space="0" w:color="auto"/>
                                        <w:right w:val="none" w:sz="0" w:space="0" w:color="auto"/>
                                      </w:divBdr>
                                    </w:div>
                                    <w:div w:id="1773471941">
                                      <w:marLeft w:val="0"/>
                                      <w:marRight w:val="0"/>
                                      <w:marTop w:val="0"/>
                                      <w:marBottom w:val="0"/>
                                      <w:divBdr>
                                        <w:top w:val="none" w:sz="0" w:space="0" w:color="auto"/>
                                        <w:left w:val="none" w:sz="0" w:space="0" w:color="auto"/>
                                        <w:bottom w:val="none" w:sz="0" w:space="0" w:color="auto"/>
                                        <w:right w:val="none" w:sz="0" w:space="0" w:color="auto"/>
                                      </w:divBdr>
                                      <w:divsChild>
                                        <w:div w:id="1996106454">
                                          <w:marLeft w:val="0"/>
                                          <w:marRight w:val="0"/>
                                          <w:marTop w:val="0"/>
                                          <w:marBottom w:val="0"/>
                                          <w:divBdr>
                                            <w:top w:val="none" w:sz="0" w:space="0" w:color="auto"/>
                                            <w:left w:val="none" w:sz="0" w:space="0" w:color="auto"/>
                                            <w:bottom w:val="none" w:sz="0" w:space="0" w:color="auto"/>
                                            <w:right w:val="none" w:sz="0" w:space="0" w:color="auto"/>
                                          </w:divBdr>
                                          <w:divsChild>
                                            <w:div w:id="1892883034">
                                              <w:marLeft w:val="0"/>
                                              <w:marRight w:val="0"/>
                                              <w:marTop w:val="0"/>
                                              <w:marBottom w:val="0"/>
                                              <w:divBdr>
                                                <w:top w:val="none" w:sz="0" w:space="0" w:color="auto"/>
                                                <w:left w:val="none" w:sz="0" w:space="0" w:color="auto"/>
                                                <w:bottom w:val="none" w:sz="0" w:space="0" w:color="auto"/>
                                                <w:right w:val="none" w:sz="0" w:space="0" w:color="auto"/>
                                              </w:divBdr>
                                              <w:divsChild>
                                                <w:div w:id="2013872959">
                                                  <w:marLeft w:val="0"/>
                                                  <w:marRight w:val="0"/>
                                                  <w:marTop w:val="0"/>
                                                  <w:marBottom w:val="0"/>
                                                  <w:divBdr>
                                                    <w:top w:val="none" w:sz="0" w:space="0" w:color="auto"/>
                                                    <w:left w:val="none" w:sz="0" w:space="0" w:color="auto"/>
                                                    <w:bottom w:val="none" w:sz="0" w:space="0" w:color="auto"/>
                                                    <w:right w:val="none" w:sz="0" w:space="0" w:color="auto"/>
                                                  </w:divBdr>
                                                  <w:divsChild>
                                                    <w:div w:id="1616911999">
                                                      <w:marLeft w:val="0"/>
                                                      <w:marRight w:val="0"/>
                                                      <w:marTop w:val="0"/>
                                                      <w:marBottom w:val="0"/>
                                                      <w:divBdr>
                                                        <w:top w:val="none" w:sz="0" w:space="0" w:color="auto"/>
                                                        <w:left w:val="none" w:sz="0" w:space="0" w:color="auto"/>
                                                        <w:bottom w:val="none" w:sz="0" w:space="0" w:color="auto"/>
                                                        <w:right w:val="none" w:sz="0" w:space="0" w:color="auto"/>
                                                      </w:divBdr>
                                                      <w:divsChild>
                                                        <w:div w:id="1517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3074609">
      <w:bodyDiv w:val="1"/>
      <w:marLeft w:val="0"/>
      <w:marRight w:val="0"/>
      <w:marTop w:val="0"/>
      <w:marBottom w:val="0"/>
      <w:divBdr>
        <w:top w:val="none" w:sz="0" w:space="0" w:color="auto"/>
        <w:left w:val="none" w:sz="0" w:space="0" w:color="auto"/>
        <w:bottom w:val="none" w:sz="0" w:space="0" w:color="auto"/>
        <w:right w:val="none" w:sz="0" w:space="0" w:color="auto"/>
      </w:divBdr>
    </w:div>
    <w:div w:id="360860240">
      <w:bodyDiv w:val="1"/>
      <w:marLeft w:val="0"/>
      <w:marRight w:val="0"/>
      <w:marTop w:val="0"/>
      <w:marBottom w:val="0"/>
      <w:divBdr>
        <w:top w:val="none" w:sz="0" w:space="0" w:color="auto"/>
        <w:left w:val="none" w:sz="0" w:space="0" w:color="auto"/>
        <w:bottom w:val="none" w:sz="0" w:space="0" w:color="auto"/>
        <w:right w:val="none" w:sz="0" w:space="0" w:color="auto"/>
      </w:divBdr>
    </w:div>
    <w:div w:id="361446300">
      <w:bodyDiv w:val="1"/>
      <w:marLeft w:val="0"/>
      <w:marRight w:val="0"/>
      <w:marTop w:val="0"/>
      <w:marBottom w:val="0"/>
      <w:divBdr>
        <w:top w:val="none" w:sz="0" w:space="0" w:color="auto"/>
        <w:left w:val="none" w:sz="0" w:space="0" w:color="auto"/>
        <w:bottom w:val="none" w:sz="0" w:space="0" w:color="auto"/>
        <w:right w:val="none" w:sz="0" w:space="0" w:color="auto"/>
      </w:divBdr>
    </w:div>
    <w:div w:id="564220094">
      <w:bodyDiv w:val="1"/>
      <w:marLeft w:val="0"/>
      <w:marRight w:val="0"/>
      <w:marTop w:val="0"/>
      <w:marBottom w:val="0"/>
      <w:divBdr>
        <w:top w:val="none" w:sz="0" w:space="0" w:color="auto"/>
        <w:left w:val="none" w:sz="0" w:space="0" w:color="auto"/>
        <w:bottom w:val="none" w:sz="0" w:space="0" w:color="auto"/>
        <w:right w:val="none" w:sz="0" w:space="0" w:color="auto"/>
      </w:divBdr>
      <w:divsChild>
        <w:div w:id="630861801">
          <w:marLeft w:val="0"/>
          <w:marRight w:val="0"/>
          <w:marTop w:val="0"/>
          <w:marBottom w:val="0"/>
          <w:divBdr>
            <w:top w:val="none" w:sz="0" w:space="0" w:color="auto"/>
            <w:left w:val="none" w:sz="0" w:space="0" w:color="auto"/>
            <w:bottom w:val="none" w:sz="0" w:space="0" w:color="auto"/>
            <w:right w:val="none" w:sz="0" w:space="0" w:color="auto"/>
          </w:divBdr>
          <w:divsChild>
            <w:div w:id="1971856234">
              <w:marLeft w:val="0"/>
              <w:marRight w:val="0"/>
              <w:marTop w:val="0"/>
              <w:marBottom w:val="0"/>
              <w:divBdr>
                <w:top w:val="none" w:sz="0" w:space="0" w:color="auto"/>
                <w:left w:val="none" w:sz="0" w:space="0" w:color="auto"/>
                <w:bottom w:val="none" w:sz="0" w:space="0" w:color="auto"/>
                <w:right w:val="none" w:sz="0" w:space="0" w:color="auto"/>
              </w:divBdr>
              <w:divsChild>
                <w:div w:id="8336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9307">
      <w:bodyDiv w:val="1"/>
      <w:marLeft w:val="0"/>
      <w:marRight w:val="0"/>
      <w:marTop w:val="0"/>
      <w:marBottom w:val="0"/>
      <w:divBdr>
        <w:top w:val="none" w:sz="0" w:space="0" w:color="auto"/>
        <w:left w:val="none" w:sz="0" w:space="0" w:color="auto"/>
        <w:bottom w:val="none" w:sz="0" w:space="0" w:color="auto"/>
        <w:right w:val="none" w:sz="0" w:space="0" w:color="auto"/>
      </w:divBdr>
      <w:divsChild>
        <w:div w:id="1666740503">
          <w:marLeft w:val="0"/>
          <w:marRight w:val="0"/>
          <w:marTop w:val="100"/>
          <w:marBottom w:val="100"/>
          <w:divBdr>
            <w:top w:val="none" w:sz="0" w:space="0" w:color="auto"/>
            <w:left w:val="none" w:sz="0" w:space="0" w:color="auto"/>
            <w:bottom w:val="none" w:sz="0" w:space="0" w:color="auto"/>
            <w:right w:val="none" w:sz="0" w:space="0" w:color="auto"/>
          </w:divBdr>
          <w:divsChild>
            <w:div w:id="1724938181">
              <w:marLeft w:val="0"/>
              <w:marRight w:val="0"/>
              <w:marTop w:val="0"/>
              <w:marBottom w:val="0"/>
              <w:divBdr>
                <w:top w:val="none" w:sz="0" w:space="0" w:color="auto"/>
                <w:left w:val="none" w:sz="0" w:space="0" w:color="auto"/>
                <w:bottom w:val="none" w:sz="0" w:space="0" w:color="auto"/>
                <w:right w:val="none" w:sz="0" w:space="0" w:color="auto"/>
              </w:divBdr>
              <w:divsChild>
                <w:div w:id="1153958304">
                  <w:marLeft w:val="0"/>
                  <w:marRight w:val="0"/>
                  <w:marTop w:val="0"/>
                  <w:marBottom w:val="0"/>
                  <w:divBdr>
                    <w:top w:val="none" w:sz="0" w:space="0" w:color="auto"/>
                    <w:left w:val="none" w:sz="0" w:space="0" w:color="auto"/>
                    <w:bottom w:val="none" w:sz="0" w:space="0" w:color="auto"/>
                    <w:right w:val="none" w:sz="0" w:space="0" w:color="auto"/>
                  </w:divBdr>
                  <w:divsChild>
                    <w:div w:id="2111847874">
                      <w:marLeft w:val="92"/>
                      <w:marRight w:val="92"/>
                      <w:marTop w:val="0"/>
                      <w:marBottom w:val="0"/>
                      <w:divBdr>
                        <w:top w:val="none" w:sz="0" w:space="0" w:color="auto"/>
                        <w:left w:val="none" w:sz="0" w:space="0" w:color="auto"/>
                        <w:bottom w:val="none" w:sz="0" w:space="0" w:color="auto"/>
                        <w:right w:val="none" w:sz="0" w:space="0" w:color="auto"/>
                      </w:divBdr>
                      <w:divsChild>
                        <w:div w:id="1183086483">
                          <w:marLeft w:val="0"/>
                          <w:marRight w:val="0"/>
                          <w:marTop w:val="0"/>
                          <w:marBottom w:val="0"/>
                          <w:divBdr>
                            <w:top w:val="none" w:sz="0" w:space="0" w:color="auto"/>
                            <w:left w:val="none" w:sz="0" w:space="0" w:color="auto"/>
                            <w:bottom w:val="none" w:sz="0" w:space="0" w:color="auto"/>
                            <w:right w:val="none" w:sz="0" w:space="0" w:color="auto"/>
                          </w:divBdr>
                          <w:divsChild>
                            <w:div w:id="90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985759">
      <w:bodyDiv w:val="1"/>
      <w:marLeft w:val="0"/>
      <w:marRight w:val="0"/>
      <w:marTop w:val="0"/>
      <w:marBottom w:val="0"/>
      <w:divBdr>
        <w:top w:val="none" w:sz="0" w:space="0" w:color="auto"/>
        <w:left w:val="none" w:sz="0" w:space="0" w:color="auto"/>
        <w:bottom w:val="none" w:sz="0" w:space="0" w:color="auto"/>
        <w:right w:val="none" w:sz="0" w:space="0" w:color="auto"/>
      </w:divBdr>
      <w:divsChild>
        <w:div w:id="1874733664">
          <w:marLeft w:val="0"/>
          <w:marRight w:val="0"/>
          <w:marTop w:val="100"/>
          <w:marBottom w:val="100"/>
          <w:divBdr>
            <w:top w:val="none" w:sz="0" w:space="0" w:color="auto"/>
            <w:left w:val="none" w:sz="0" w:space="0" w:color="auto"/>
            <w:bottom w:val="none" w:sz="0" w:space="0" w:color="auto"/>
            <w:right w:val="none" w:sz="0" w:space="0" w:color="auto"/>
          </w:divBdr>
          <w:divsChild>
            <w:div w:id="906915263">
              <w:marLeft w:val="0"/>
              <w:marRight w:val="0"/>
              <w:marTop w:val="0"/>
              <w:marBottom w:val="0"/>
              <w:divBdr>
                <w:top w:val="none" w:sz="0" w:space="0" w:color="auto"/>
                <w:left w:val="none" w:sz="0" w:space="0" w:color="auto"/>
                <w:bottom w:val="none" w:sz="0" w:space="0" w:color="auto"/>
                <w:right w:val="none" w:sz="0" w:space="0" w:color="auto"/>
              </w:divBdr>
              <w:divsChild>
                <w:div w:id="817188664">
                  <w:marLeft w:val="0"/>
                  <w:marRight w:val="0"/>
                  <w:marTop w:val="0"/>
                  <w:marBottom w:val="0"/>
                  <w:divBdr>
                    <w:top w:val="none" w:sz="0" w:space="0" w:color="auto"/>
                    <w:left w:val="none" w:sz="0" w:space="0" w:color="auto"/>
                    <w:bottom w:val="none" w:sz="0" w:space="0" w:color="auto"/>
                    <w:right w:val="none" w:sz="0" w:space="0" w:color="auto"/>
                  </w:divBdr>
                  <w:divsChild>
                    <w:div w:id="380056601">
                      <w:marLeft w:val="92"/>
                      <w:marRight w:val="92"/>
                      <w:marTop w:val="0"/>
                      <w:marBottom w:val="295"/>
                      <w:divBdr>
                        <w:top w:val="none" w:sz="0" w:space="0" w:color="auto"/>
                        <w:left w:val="none" w:sz="0" w:space="0" w:color="auto"/>
                        <w:bottom w:val="none" w:sz="0" w:space="0" w:color="auto"/>
                        <w:right w:val="none" w:sz="0" w:space="0" w:color="auto"/>
                      </w:divBdr>
                    </w:div>
                  </w:divsChild>
                </w:div>
              </w:divsChild>
            </w:div>
          </w:divsChild>
        </w:div>
      </w:divsChild>
    </w:div>
    <w:div w:id="905334742">
      <w:bodyDiv w:val="1"/>
      <w:marLeft w:val="0"/>
      <w:marRight w:val="0"/>
      <w:marTop w:val="0"/>
      <w:marBottom w:val="0"/>
      <w:divBdr>
        <w:top w:val="none" w:sz="0" w:space="0" w:color="auto"/>
        <w:left w:val="none" w:sz="0" w:space="0" w:color="auto"/>
        <w:bottom w:val="none" w:sz="0" w:space="0" w:color="auto"/>
        <w:right w:val="none" w:sz="0" w:space="0" w:color="auto"/>
      </w:divBdr>
    </w:div>
    <w:div w:id="938366438">
      <w:bodyDiv w:val="1"/>
      <w:marLeft w:val="0"/>
      <w:marRight w:val="0"/>
      <w:marTop w:val="0"/>
      <w:marBottom w:val="0"/>
      <w:divBdr>
        <w:top w:val="none" w:sz="0" w:space="0" w:color="auto"/>
        <w:left w:val="none" w:sz="0" w:space="0" w:color="auto"/>
        <w:bottom w:val="none" w:sz="0" w:space="0" w:color="auto"/>
        <w:right w:val="none" w:sz="0" w:space="0" w:color="auto"/>
      </w:divBdr>
    </w:div>
    <w:div w:id="968243154">
      <w:bodyDiv w:val="1"/>
      <w:marLeft w:val="0"/>
      <w:marRight w:val="0"/>
      <w:marTop w:val="0"/>
      <w:marBottom w:val="0"/>
      <w:divBdr>
        <w:top w:val="none" w:sz="0" w:space="0" w:color="auto"/>
        <w:left w:val="none" w:sz="0" w:space="0" w:color="auto"/>
        <w:bottom w:val="none" w:sz="0" w:space="0" w:color="auto"/>
        <w:right w:val="none" w:sz="0" w:space="0" w:color="auto"/>
      </w:divBdr>
      <w:divsChild>
        <w:div w:id="939485790">
          <w:marLeft w:val="0"/>
          <w:marRight w:val="0"/>
          <w:marTop w:val="100"/>
          <w:marBottom w:val="100"/>
          <w:divBdr>
            <w:top w:val="none" w:sz="0" w:space="0" w:color="auto"/>
            <w:left w:val="none" w:sz="0" w:space="0" w:color="auto"/>
            <w:bottom w:val="none" w:sz="0" w:space="0" w:color="auto"/>
            <w:right w:val="none" w:sz="0" w:space="0" w:color="auto"/>
          </w:divBdr>
          <w:divsChild>
            <w:div w:id="1594163358">
              <w:marLeft w:val="0"/>
              <w:marRight w:val="0"/>
              <w:marTop w:val="0"/>
              <w:marBottom w:val="0"/>
              <w:divBdr>
                <w:top w:val="none" w:sz="0" w:space="0" w:color="auto"/>
                <w:left w:val="none" w:sz="0" w:space="0" w:color="auto"/>
                <w:bottom w:val="none" w:sz="0" w:space="0" w:color="auto"/>
                <w:right w:val="none" w:sz="0" w:space="0" w:color="auto"/>
              </w:divBdr>
              <w:divsChild>
                <w:div w:id="704335480">
                  <w:marLeft w:val="0"/>
                  <w:marRight w:val="0"/>
                  <w:marTop w:val="0"/>
                  <w:marBottom w:val="0"/>
                  <w:divBdr>
                    <w:top w:val="none" w:sz="0" w:space="0" w:color="auto"/>
                    <w:left w:val="none" w:sz="0" w:space="0" w:color="auto"/>
                    <w:bottom w:val="none" w:sz="0" w:space="0" w:color="auto"/>
                    <w:right w:val="none" w:sz="0" w:space="0" w:color="auto"/>
                  </w:divBdr>
                  <w:divsChild>
                    <w:div w:id="284123170">
                      <w:marLeft w:val="92"/>
                      <w:marRight w:val="92"/>
                      <w:marTop w:val="0"/>
                      <w:marBottom w:val="0"/>
                      <w:divBdr>
                        <w:top w:val="none" w:sz="0" w:space="0" w:color="auto"/>
                        <w:left w:val="none" w:sz="0" w:space="0" w:color="auto"/>
                        <w:bottom w:val="none" w:sz="0" w:space="0" w:color="auto"/>
                        <w:right w:val="none" w:sz="0" w:space="0" w:color="auto"/>
                      </w:divBdr>
                      <w:divsChild>
                        <w:div w:id="936137380">
                          <w:marLeft w:val="0"/>
                          <w:marRight w:val="0"/>
                          <w:marTop w:val="0"/>
                          <w:marBottom w:val="0"/>
                          <w:divBdr>
                            <w:top w:val="none" w:sz="0" w:space="0" w:color="auto"/>
                            <w:left w:val="none" w:sz="0" w:space="0" w:color="auto"/>
                            <w:bottom w:val="none" w:sz="0" w:space="0" w:color="auto"/>
                            <w:right w:val="none" w:sz="0" w:space="0" w:color="auto"/>
                          </w:divBdr>
                          <w:divsChild>
                            <w:div w:id="1136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2531">
      <w:bodyDiv w:val="1"/>
      <w:marLeft w:val="0"/>
      <w:marRight w:val="0"/>
      <w:marTop w:val="0"/>
      <w:marBottom w:val="0"/>
      <w:divBdr>
        <w:top w:val="none" w:sz="0" w:space="0" w:color="auto"/>
        <w:left w:val="none" w:sz="0" w:space="0" w:color="auto"/>
        <w:bottom w:val="none" w:sz="0" w:space="0" w:color="auto"/>
        <w:right w:val="none" w:sz="0" w:space="0" w:color="auto"/>
      </w:divBdr>
    </w:div>
    <w:div w:id="1319265742">
      <w:bodyDiv w:val="1"/>
      <w:marLeft w:val="0"/>
      <w:marRight w:val="0"/>
      <w:marTop w:val="0"/>
      <w:marBottom w:val="0"/>
      <w:divBdr>
        <w:top w:val="none" w:sz="0" w:space="0" w:color="auto"/>
        <w:left w:val="none" w:sz="0" w:space="0" w:color="auto"/>
        <w:bottom w:val="none" w:sz="0" w:space="0" w:color="auto"/>
        <w:right w:val="none" w:sz="0" w:space="0" w:color="auto"/>
      </w:divBdr>
      <w:divsChild>
        <w:div w:id="1154638657">
          <w:marLeft w:val="0"/>
          <w:marRight w:val="0"/>
          <w:marTop w:val="0"/>
          <w:marBottom w:val="0"/>
          <w:divBdr>
            <w:top w:val="none" w:sz="0" w:space="0" w:color="auto"/>
            <w:left w:val="none" w:sz="0" w:space="0" w:color="auto"/>
            <w:bottom w:val="none" w:sz="0" w:space="0" w:color="auto"/>
            <w:right w:val="none" w:sz="0" w:space="0" w:color="auto"/>
          </w:divBdr>
          <w:divsChild>
            <w:div w:id="6218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8117">
      <w:bodyDiv w:val="1"/>
      <w:marLeft w:val="0"/>
      <w:marRight w:val="0"/>
      <w:marTop w:val="0"/>
      <w:marBottom w:val="0"/>
      <w:divBdr>
        <w:top w:val="none" w:sz="0" w:space="0" w:color="auto"/>
        <w:left w:val="none" w:sz="0" w:space="0" w:color="auto"/>
        <w:bottom w:val="none" w:sz="0" w:space="0" w:color="auto"/>
        <w:right w:val="none" w:sz="0" w:space="0" w:color="auto"/>
      </w:divBdr>
    </w:div>
    <w:div w:id="1418207948">
      <w:bodyDiv w:val="1"/>
      <w:marLeft w:val="0"/>
      <w:marRight w:val="0"/>
      <w:marTop w:val="0"/>
      <w:marBottom w:val="0"/>
      <w:divBdr>
        <w:top w:val="none" w:sz="0" w:space="0" w:color="auto"/>
        <w:left w:val="none" w:sz="0" w:space="0" w:color="auto"/>
        <w:bottom w:val="none" w:sz="0" w:space="0" w:color="auto"/>
        <w:right w:val="none" w:sz="0" w:space="0" w:color="auto"/>
      </w:divBdr>
      <w:divsChild>
        <w:div w:id="844199976">
          <w:marLeft w:val="0"/>
          <w:marRight w:val="0"/>
          <w:marTop w:val="100"/>
          <w:marBottom w:val="100"/>
          <w:divBdr>
            <w:top w:val="none" w:sz="0" w:space="0" w:color="auto"/>
            <w:left w:val="none" w:sz="0" w:space="0" w:color="auto"/>
            <w:bottom w:val="none" w:sz="0" w:space="0" w:color="auto"/>
            <w:right w:val="none" w:sz="0" w:space="0" w:color="auto"/>
          </w:divBdr>
          <w:divsChild>
            <w:div w:id="1354066933">
              <w:marLeft w:val="0"/>
              <w:marRight w:val="0"/>
              <w:marTop w:val="0"/>
              <w:marBottom w:val="0"/>
              <w:divBdr>
                <w:top w:val="none" w:sz="0" w:space="0" w:color="auto"/>
                <w:left w:val="none" w:sz="0" w:space="0" w:color="auto"/>
                <w:bottom w:val="none" w:sz="0" w:space="0" w:color="auto"/>
                <w:right w:val="none" w:sz="0" w:space="0" w:color="auto"/>
              </w:divBdr>
              <w:divsChild>
                <w:div w:id="1921325156">
                  <w:marLeft w:val="0"/>
                  <w:marRight w:val="0"/>
                  <w:marTop w:val="0"/>
                  <w:marBottom w:val="0"/>
                  <w:divBdr>
                    <w:top w:val="none" w:sz="0" w:space="0" w:color="auto"/>
                    <w:left w:val="none" w:sz="0" w:space="0" w:color="auto"/>
                    <w:bottom w:val="none" w:sz="0" w:space="0" w:color="auto"/>
                    <w:right w:val="none" w:sz="0" w:space="0" w:color="auto"/>
                  </w:divBdr>
                  <w:divsChild>
                    <w:div w:id="348651833">
                      <w:marLeft w:val="92"/>
                      <w:marRight w:val="92"/>
                      <w:marTop w:val="0"/>
                      <w:marBottom w:val="295"/>
                      <w:divBdr>
                        <w:top w:val="none" w:sz="0" w:space="0" w:color="auto"/>
                        <w:left w:val="none" w:sz="0" w:space="0" w:color="auto"/>
                        <w:bottom w:val="none" w:sz="0" w:space="0" w:color="auto"/>
                        <w:right w:val="none" w:sz="0" w:space="0" w:color="auto"/>
                      </w:divBdr>
                    </w:div>
                  </w:divsChild>
                </w:div>
              </w:divsChild>
            </w:div>
          </w:divsChild>
        </w:div>
      </w:divsChild>
    </w:div>
    <w:div w:id="1672952584">
      <w:bodyDiv w:val="1"/>
      <w:marLeft w:val="0"/>
      <w:marRight w:val="0"/>
      <w:marTop w:val="0"/>
      <w:marBottom w:val="0"/>
      <w:divBdr>
        <w:top w:val="none" w:sz="0" w:space="0" w:color="auto"/>
        <w:left w:val="none" w:sz="0" w:space="0" w:color="auto"/>
        <w:bottom w:val="none" w:sz="0" w:space="0" w:color="auto"/>
        <w:right w:val="none" w:sz="0" w:space="0" w:color="auto"/>
      </w:divBdr>
    </w:div>
    <w:div w:id="1731616142">
      <w:bodyDiv w:val="1"/>
      <w:marLeft w:val="0"/>
      <w:marRight w:val="0"/>
      <w:marTop w:val="0"/>
      <w:marBottom w:val="0"/>
      <w:divBdr>
        <w:top w:val="none" w:sz="0" w:space="0" w:color="auto"/>
        <w:left w:val="none" w:sz="0" w:space="0" w:color="auto"/>
        <w:bottom w:val="none" w:sz="0" w:space="0" w:color="auto"/>
        <w:right w:val="none" w:sz="0" w:space="0" w:color="auto"/>
      </w:divBdr>
    </w:div>
    <w:div w:id="1972206428">
      <w:bodyDiv w:val="1"/>
      <w:marLeft w:val="0"/>
      <w:marRight w:val="0"/>
      <w:marTop w:val="0"/>
      <w:marBottom w:val="0"/>
      <w:divBdr>
        <w:top w:val="none" w:sz="0" w:space="0" w:color="auto"/>
        <w:left w:val="none" w:sz="0" w:space="0" w:color="auto"/>
        <w:bottom w:val="none" w:sz="0" w:space="0" w:color="auto"/>
        <w:right w:val="none" w:sz="0" w:space="0" w:color="auto"/>
      </w:divBdr>
    </w:div>
    <w:div w:id="199121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queensu.ca/forms/index.php/accessibility/add" TargetMode="External"/><Relationship Id="rId18" Type="http://schemas.openxmlformats.org/officeDocument/2006/relationships/hyperlink" Target="http://www.queensu.ca/equity/accessibility/framework/employment.html" TargetMode="External"/><Relationship Id="rId26" Type="http://schemas.openxmlformats.org/officeDocument/2006/relationships/hyperlink" Target="http://queensu.ca/equity/accessibility/reports.html" TargetMode="External"/><Relationship Id="rId3" Type="http://schemas.openxmlformats.org/officeDocument/2006/relationships/styles" Target="styles.xml"/><Relationship Id="rId21" Type="http://schemas.openxmlformats.org/officeDocument/2006/relationships/hyperlink" Target="http://www.queensu.ca/provost/responsibilities/committees/ORC.html" TargetMode="External"/><Relationship Id="rId34" Type="http://schemas.openxmlformats.org/officeDocument/2006/relationships/hyperlink" Target="http://queensu.ca/equity/accessibility/policy/statement.html" TargetMode="External"/><Relationship Id="rId7" Type="http://schemas.openxmlformats.org/officeDocument/2006/relationships/endnotes" Target="endnotes.xml"/><Relationship Id="rId12" Type="http://schemas.openxmlformats.org/officeDocument/2006/relationships/hyperlink" Target="mailto:equity@queensu.ca" TargetMode="External"/><Relationship Id="rId17" Type="http://schemas.openxmlformats.org/officeDocument/2006/relationships/hyperlink" Target="http://www.queensu.ca/equity/accessibility/framework/infoandcom.html" TargetMode="External"/><Relationship Id="rId25" Type="http://schemas.openxmlformats.org/officeDocument/2006/relationships/hyperlink" Target="http://www.queensu.ca/secretariat/policies/administration/accessibility.html" TargetMode="External"/><Relationship Id="rId33" Type="http://schemas.openxmlformats.org/officeDocument/2006/relationships/hyperlink" Target="mailto:jeanette.parsons@queensu.ca" TargetMode="External"/><Relationship Id="rId2" Type="http://schemas.openxmlformats.org/officeDocument/2006/relationships/numbering" Target="numbering.xml"/><Relationship Id="rId16" Type="http://schemas.openxmlformats.org/officeDocument/2006/relationships/hyperlink" Target="http://www.queensu.ca/equity/accessibility/policy/Queens-University-Comprehensive-Strategic-Framework-For-Accessibility-Oct-2011.pdf" TargetMode="External"/><Relationship Id="rId20" Type="http://schemas.openxmlformats.org/officeDocument/2006/relationships/hyperlink" Target="http://www.queensu.ca/equity/accessibility/framework/eta.html" TargetMode="External"/><Relationship Id="rId29" Type="http://schemas.openxmlformats.org/officeDocument/2006/relationships/hyperlink" Target="http://www.queensu.ca/procurement/aod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ensu.ca/equity/accessibility/reports.html" TargetMode="External"/><Relationship Id="rId24" Type="http://schemas.openxmlformats.org/officeDocument/2006/relationships/footer" Target="footer2.xml"/><Relationship Id="rId32" Type="http://schemas.openxmlformats.org/officeDocument/2006/relationships/hyperlink" Target="http://www.queensu.ca/accessibilit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queensu.ca/equity/accessibility/reports.html" TargetMode="External"/><Relationship Id="rId23" Type="http://schemas.openxmlformats.org/officeDocument/2006/relationships/image" Target="cid:image001.jpg@01CECA7F.E7134460" TargetMode="External"/><Relationship Id="rId28" Type="http://schemas.openxmlformats.org/officeDocument/2006/relationships/hyperlink" Target="http://www.queensu.ca/secretariat/policies/finance/procurement.html" TargetMode="External"/><Relationship Id="rId36" Type="http://schemas.openxmlformats.org/officeDocument/2006/relationships/fontTable" Target="fontTable.xml"/><Relationship Id="rId10" Type="http://schemas.openxmlformats.org/officeDocument/2006/relationships/hyperlink" Target="mailto:equity@queensu.ca" TargetMode="External"/><Relationship Id="rId19" Type="http://schemas.openxmlformats.org/officeDocument/2006/relationships/hyperlink" Target="http://www.queensu.ca/equity/accessibility/framework/builtenvironment.html" TargetMode="External"/><Relationship Id="rId31" Type="http://schemas.openxmlformats.org/officeDocument/2006/relationships/hyperlink" Target="https://www.queensu.ca/forms/index.php/accessibility/ad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eanette.parsons@queensu.ca" TargetMode="External"/><Relationship Id="rId22" Type="http://schemas.openxmlformats.org/officeDocument/2006/relationships/image" Target="media/image2.jpeg"/><Relationship Id="rId27" Type="http://schemas.openxmlformats.org/officeDocument/2006/relationships/hyperlink" Target="http://queensu.ca/equity/accessibility/reports.html" TargetMode="External"/><Relationship Id="rId30" Type="http://schemas.openxmlformats.org/officeDocument/2006/relationships/hyperlink" Target="http://queensu.ca/equity/training.html" TargetMode="External"/><Relationship Id="rId35" Type="http://schemas.openxmlformats.org/officeDocument/2006/relationships/hyperlink" Target="http://www.queensu.ca/accessi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D786-CBBB-4E5A-B329-DAAA0A1E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14</Pages>
  <Words>4050</Words>
  <Characters>23088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Heidi Penning</cp:lastModifiedBy>
  <cp:revision>4</cp:revision>
  <cp:lastPrinted>2014-07-02T15:49:00Z</cp:lastPrinted>
  <dcterms:created xsi:type="dcterms:W3CDTF">2014-08-20T13:49:00Z</dcterms:created>
  <dcterms:modified xsi:type="dcterms:W3CDTF">2014-08-21T20:11:00Z</dcterms:modified>
</cp:coreProperties>
</file>