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A04E" w14:textId="652C94D0" w:rsidR="00103042" w:rsidRPr="00103042" w:rsidRDefault="00103042" w:rsidP="00103042">
      <w:pPr>
        <w:pStyle w:val="Title"/>
        <w:jc w:val="center"/>
      </w:pPr>
      <w:r w:rsidRPr="00103042">
        <w:t>Multi-Year Accessibility Plan (MYAP) 2026-2031</w:t>
      </w:r>
    </w:p>
    <w:p w14:paraId="7ACC93B2" w14:textId="7D6086EE" w:rsidR="00103042" w:rsidRPr="00103042" w:rsidRDefault="00103042" w:rsidP="00103042">
      <w:pPr>
        <w:pStyle w:val="Heading1"/>
        <w:jc w:val="center"/>
      </w:pPr>
      <w:r w:rsidRPr="00103042">
        <w:t>Human Rights and Equity Office</w:t>
      </w:r>
    </w:p>
    <w:p w14:paraId="5606CD2E" w14:textId="23B19771" w:rsidR="00103042" w:rsidRPr="00103042" w:rsidRDefault="00103042" w:rsidP="00103042">
      <w:pPr>
        <w:rPr>
          <w:rFonts w:ascii="Calibri" w:hAnsi="Calibri" w:cs="Calibri"/>
        </w:rPr>
      </w:pPr>
      <w:r w:rsidRPr="00103042">
        <w:rPr>
          <w:rFonts w:ascii="Calibri" w:hAnsi="Calibri" w:cs="Calibri"/>
        </w:rPr>
        <w:t>The University’s previous Multi-Year Accessibility Plan (2016–2025) focused on increasing awareness and understanding of disability, strengthening accessibility practices, and embedding accessibility considerations into institutional processes. ​</w:t>
      </w:r>
    </w:p>
    <w:p w14:paraId="08842B79" w14:textId="26AF8633" w:rsidR="00103042" w:rsidRPr="00103042" w:rsidRDefault="00103042" w:rsidP="00103042">
      <w:pPr>
        <w:rPr>
          <w:rFonts w:ascii="Calibri" w:hAnsi="Calibri" w:cs="Calibri"/>
        </w:rPr>
      </w:pPr>
      <w:r w:rsidRPr="00103042">
        <w:rPr>
          <w:rFonts w:ascii="Calibri" w:hAnsi="Calibri" w:cs="Calibri"/>
        </w:rPr>
        <w:t>The new Multi-Year Accessibility Plan (2026-2031) builds on that foundation, reflecting evolving understandings of disability, emerging accessibility needs, and the University’s continued commitment to systemic, proactive, and sustainable accessibility practices over the next five years. ​</w:t>
      </w:r>
    </w:p>
    <w:p w14:paraId="5F8AEDFB" w14:textId="5AA607AF" w:rsidR="00103042" w:rsidRPr="00103042" w:rsidRDefault="00103042" w:rsidP="00103042">
      <w:pPr>
        <w:pStyle w:val="Heading2"/>
      </w:pPr>
      <w:r w:rsidRPr="00103042">
        <w:t>The Garden of Accessibility Framework (Brothers, 2025)</w:t>
      </w:r>
      <w:r w:rsidRPr="00103042">
        <w:rPr>
          <w:rFonts w:ascii="Arial" w:hAnsi="Arial" w:cs="Arial"/>
        </w:rPr>
        <w:t>​</w:t>
      </w:r>
    </w:p>
    <w:p w14:paraId="6389F74C" w14:textId="2E81A7A1" w:rsidR="00103042" w:rsidRDefault="00103042" w:rsidP="00103042">
      <w:pPr>
        <w:rPr>
          <w:rFonts w:ascii="Calibri" w:hAnsi="Calibri" w:cs="Calibri"/>
        </w:rPr>
      </w:pPr>
      <w:r w:rsidRPr="00103042">
        <w:rPr>
          <w:rFonts w:ascii="Calibri" w:hAnsi="Calibri" w:cs="Calibri"/>
        </w:rPr>
        <w:t>The Garden of Accessibility is a systems-based framework used in this Multi-Year Accessibility Plan to show how accessibility is created, sustained, and strengthened across the University as a whole. Instead of treating accessibility as a set of isolated initiatives or compliance tasks, the Garden framework understands accessibility as an interconnected ecosystem that requires care, coordination, and shared responsibility over time. ​</w:t>
      </w:r>
    </w:p>
    <w:p w14:paraId="648F63D4" w14:textId="05C7F55D" w:rsidR="00103042" w:rsidRPr="00103042" w:rsidRDefault="00103042" w:rsidP="00103042">
      <w:pPr>
        <w:pStyle w:val="Heading2"/>
      </w:pPr>
      <w:r w:rsidRPr="00103042">
        <w:t>Priority Commitments – Multi-Year Accessibility Plan (2026-2031)</w:t>
      </w:r>
      <w:r w:rsidRPr="00103042">
        <w:rPr>
          <w:rFonts w:ascii="Arial" w:hAnsi="Arial" w:cs="Arial"/>
        </w:rPr>
        <w:t>​</w:t>
      </w:r>
    </w:p>
    <w:p w14:paraId="7AC6E2F7" w14:textId="675996B5" w:rsidR="00103042" w:rsidRPr="00103042" w:rsidRDefault="00103042" w:rsidP="0010304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​Institutional Culture of Accessibility ​</w:t>
      </w:r>
    </w:p>
    <w:p w14:paraId="436A3927" w14:textId="1674AA96" w:rsidR="00103042" w:rsidRPr="00103042" w:rsidRDefault="00103042" w:rsidP="0010304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Accessible Services, Systems, Policies and Processes ​</w:t>
      </w:r>
    </w:p>
    <w:p w14:paraId="18B12A0C" w14:textId="25D9569F" w:rsidR="00103042" w:rsidRPr="00103042" w:rsidRDefault="00103042" w:rsidP="0010304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Information and Communications​</w:t>
      </w:r>
    </w:p>
    <w:p w14:paraId="1E6C3DA1" w14:textId="46D2892D" w:rsidR="00103042" w:rsidRPr="00103042" w:rsidRDefault="00103042" w:rsidP="0010304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Accessible Physical Environments​</w:t>
      </w:r>
    </w:p>
    <w:p w14:paraId="3E707B53" w14:textId="08B26A37" w:rsidR="00103042" w:rsidRPr="00103042" w:rsidRDefault="00103042" w:rsidP="0010304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People and Inclusion​</w:t>
      </w:r>
    </w:p>
    <w:p w14:paraId="546BD399" w14:textId="405CA833" w:rsidR="00103042" w:rsidRDefault="00103042" w:rsidP="0010304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Teaching, Learning, and the Academic Experience​</w:t>
      </w:r>
    </w:p>
    <w:p w14:paraId="4613E9CB" w14:textId="48BB441A" w:rsidR="00103042" w:rsidRPr="00103042" w:rsidRDefault="00103042" w:rsidP="00103042">
      <w:pPr>
        <w:pStyle w:val="Heading2"/>
      </w:pPr>
      <w:r w:rsidRPr="00103042">
        <w:t>Priority Commitments &amp; The Garden of Accessibility (Brothers, 2025)</w:t>
      </w:r>
      <w:r w:rsidRPr="00103042">
        <w:rPr>
          <w:rFonts w:ascii="Arial" w:hAnsi="Arial" w:cs="Arial"/>
        </w:rPr>
        <w:t>​</w:t>
      </w:r>
    </w:p>
    <w:p w14:paraId="6C9BCC9E" w14:textId="389634FC" w:rsidR="00103042" w:rsidRPr="00103042" w:rsidRDefault="00103042" w:rsidP="0010304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Institutional Culture of Accessibility ​</w:t>
      </w:r>
    </w:p>
    <w:p w14:paraId="642043CC" w14:textId="6A1B8D60" w:rsidR="00103042" w:rsidRPr="00103042" w:rsidRDefault="00103042" w:rsidP="0010304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The soil – values, leadership, and shared responsibility  ​</w:t>
      </w:r>
    </w:p>
    <w:p w14:paraId="5BCF25F8" w14:textId="7022C689" w:rsidR="00103042" w:rsidRPr="00103042" w:rsidRDefault="00103042" w:rsidP="0010304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Accessible Services, Systems, Policies and Processes ​</w:t>
      </w:r>
    </w:p>
    <w:p w14:paraId="08891D94" w14:textId="2A039ABC" w:rsidR="00103042" w:rsidRPr="00103042" w:rsidRDefault="00103042" w:rsidP="0010304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The roots – how access is built into the institution’s infrastructure​</w:t>
      </w:r>
    </w:p>
    <w:p w14:paraId="32C8DA43" w14:textId="4DE42814" w:rsidR="00103042" w:rsidRPr="00103042" w:rsidRDefault="00103042" w:rsidP="0010304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Information and Communications​</w:t>
      </w:r>
    </w:p>
    <w:p w14:paraId="22D9C2D0" w14:textId="7268ACE4" w:rsidR="00103042" w:rsidRPr="00103042" w:rsidRDefault="00103042" w:rsidP="0010304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The sunlight – access to knowledge, communication, and participation ​</w:t>
      </w:r>
    </w:p>
    <w:p w14:paraId="5F7921B4" w14:textId="62D6943F" w:rsidR="00103042" w:rsidRPr="00103042" w:rsidRDefault="00103042" w:rsidP="0010304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Accessible Physical Environments​</w:t>
      </w:r>
    </w:p>
    <w:p w14:paraId="67B8722D" w14:textId="2A784E41" w:rsidR="00103042" w:rsidRPr="00103042" w:rsidRDefault="00103042" w:rsidP="0010304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The garden beds and pathways - where access is physically made possible ​</w:t>
      </w:r>
    </w:p>
    <w:p w14:paraId="0780B1CA" w14:textId="73E8BAAD" w:rsidR="00103042" w:rsidRPr="00103042" w:rsidRDefault="00103042" w:rsidP="0010304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People and Inclusion​</w:t>
      </w:r>
    </w:p>
    <w:p w14:paraId="5054BA77" w14:textId="58F3EFC9" w:rsidR="00103042" w:rsidRPr="00103042" w:rsidRDefault="00103042" w:rsidP="0010304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The gardeners – the workforce, leadership, and students are all co-cultivators and agents of change​</w:t>
      </w:r>
    </w:p>
    <w:p w14:paraId="685AA8F8" w14:textId="5EBEB124" w:rsidR="00103042" w:rsidRPr="00103042" w:rsidRDefault="00103042" w:rsidP="0010304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Teaching, Learning, and the Academic Experience​</w:t>
      </w:r>
    </w:p>
    <w:p w14:paraId="2081C4CA" w14:textId="571FF121" w:rsidR="00103042" w:rsidRPr="00C927CD" w:rsidRDefault="00103042" w:rsidP="0010304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The growing plants – learning, assessment, and academic participation ​</w:t>
      </w:r>
    </w:p>
    <w:p w14:paraId="051916F0" w14:textId="6506E27D" w:rsidR="00103042" w:rsidRPr="00103042" w:rsidRDefault="00103042" w:rsidP="00103042">
      <w:pPr>
        <w:pStyle w:val="Heading2"/>
      </w:pPr>
      <w:r w:rsidRPr="00103042">
        <w:t>P</w:t>
      </w:r>
      <w:r w:rsidR="00C927CD">
        <w:t>riority Commitment</w:t>
      </w:r>
      <w:r w:rsidRPr="00103042">
        <w:t>: Institutional Culture of Accessibility (soil)</w:t>
      </w:r>
      <w:r w:rsidRPr="00103042">
        <w:rPr>
          <w:rFonts w:ascii="Arial" w:hAnsi="Arial" w:cs="Arial"/>
        </w:rPr>
        <w:t>​</w:t>
      </w:r>
    </w:p>
    <w:p w14:paraId="2443C0D5" w14:textId="7D3CB019" w:rsidR="00103042" w:rsidRPr="00103042" w:rsidRDefault="00103042" w:rsidP="00103042">
      <w:pPr>
        <w:rPr>
          <w:rFonts w:ascii="Calibri" w:hAnsi="Calibri" w:cs="Calibri"/>
        </w:rPr>
      </w:pPr>
      <w:r w:rsidRPr="00103042">
        <w:rPr>
          <w:rFonts w:ascii="Calibri" w:hAnsi="Calibri" w:cs="Calibri"/>
        </w:rPr>
        <w:t>​ The University is committed to cultivating a shared institutional culture where accessibility is understood as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foundational to equity, inclusion, and excellence. An institutional culture of accessibility requires leadership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commitment, shared collaborative accountability, meaningful engagement with disabled community members,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and ongoing education. ​</w:t>
      </w:r>
    </w:p>
    <w:p w14:paraId="596C7659" w14:textId="1C3C9BCE" w:rsidR="00103042" w:rsidRPr="00103042" w:rsidRDefault="00103042" w:rsidP="00103042">
      <w:pPr>
        <w:pStyle w:val="Heading3"/>
      </w:pPr>
      <w:r w:rsidRPr="00103042">
        <w:t>Goals</w:t>
      </w:r>
      <w:r w:rsidRPr="00103042">
        <w:rPr>
          <w:rFonts w:ascii="Arial" w:hAnsi="Arial" w:cs="Arial"/>
        </w:rPr>
        <w:t>​</w:t>
      </w:r>
    </w:p>
    <w:p w14:paraId="2FFFB05E" w14:textId="33A4DE07" w:rsidR="00103042" w:rsidRPr="00103042" w:rsidRDefault="00103042" w:rsidP="0010304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Execute data-informed decision-making to better understand accessibility needs, trends, and outcomes across the institution. ​</w:t>
      </w:r>
    </w:p>
    <w:p w14:paraId="7F1DC216" w14:textId="6CD77D82" w:rsidR="00103042" w:rsidRPr="00103042" w:rsidRDefault="00103042" w:rsidP="0010304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Develop governance and advisory structures, such as the Accessibility, Community and Equity</w:t>
      </w:r>
    </w:p>
    <w:p w14:paraId="3C8DB4E9" w14:textId="4CE56C0C" w:rsidR="00103042" w:rsidRPr="00103042" w:rsidRDefault="00103042" w:rsidP="0010304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(ACE) Committee, that provide strategic guidance, lived-experience perspectives, and cross-campus coordination. Reporting to ACE will be a comprehensive framework comprised of working groups and institutional initiatives that support and bolster accessibility across Queen’s.  ​</w:t>
      </w:r>
    </w:p>
    <w:p w14:paraId="0778B191" w14:textId="40DEAA2C" w:rsidR="00103042" w:rsidRPr="00103042" w:rsidRDefault="00103042" w:rsidP="00103042">
      <w:pPr>
        <w:pStyle w:val="Heading2"/>
      </w:pPr>
      <w:r w:rsidRPr="00103042">
        <w:rPr>
          <w:rFonts w:ascii="Arial" w:hAnsi="Arial" w:cs="Arial"/>
        </w:rPr>
        <w:t>​</w:t>
      </w:r>
      <w:r w:rsidR="00C927CD">
        <w:t>Priority Commitment</w:t>
      </w:r>
      <w:r w:rsidRPr="00103042">
        <w:t xml:space="preserve">: Accessible Services, Systems, Policies and Processes </w:t>
      </w:r>
      <w:r w:rsidRPr="00C927CD">
        <w:rPr>
          <w:i/>
          <w:iCs/>
        </w:rPr>
        <w:t>(roots)</w:t>
      </w:r>
      <w:r w:rsidRPr="00C927CD">
        <w:rPr>
          <w:rFonts w:ascii="Arial" w:hAnsi="Arial" w:cs="Arial"/>
          <w:i/>
          <w:iCs/>
        </w:rPr>
        <w:t>​</w:t>
      </w:r>
    </w:p>
    <w:p w14:paraId="1949CA55" w14:textId="33E63599" w:rsidR="00103042" w:rsidRPr="00103042" w:rsidRDefault="00103042" w:rsidP="00103042">
      <w:pPr>
        <w:rPr>
          <w:rFonts w:ascii="Calibri" w:hAnsi="Calibri" w:cs="Calibri"/>
        </w:rPr>
      </w:pPr>
      <w:r w:rsidRPr="00103042">
        <w:rPr>
          <w:rFonts w:ascii="Calibri" w:hAnsi="Calibri" w:cs="Calibri"/>
        </w:rPr>
        <w:t>Foundational to an institutional culture of accessibility are systems, services, and operational policie</w:t>
      </w:r>
      <w:r>
        <w:rPr>
          <w:rFonts w:ascii="Calibri" w:hAnsi="Calibri" w:cs="Calibri"/>
        </w:rPr>
        <w:t xml:space="preserve">s </w:t>
      </w:r>
      <w:r w:rsidRPr="00103042">
        <w:rPr>
          <w:rFonts w:ascii="Calibri" w:hAnsi="Calibri" w:cs="Calibri"/>
        </w:rPr>
        <w:t>and processes that shape the daily experiences for students, employees, and visitors. The focus in this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priority commitment is on reducing systemic barriers and strengthening consistency, transparency, and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responsiveness. ​</w:t>
      </w:r>
    </w:p>
    <w:p w14:paraId="47684371" w14:textId="43516399" w:rsidR="00103042" w:rsidRPr="00103042" w:rsidRDefault="00103042" w:rsidP="00103042">
      <w:pPr>
        <w:pStyle w:val="Heading3"/>
      </w:pPr>
      <w:r w:rsidRPr="00103042">
        <w:t>Goals</w:t>
      </w:r>
      <w:r w:rsidRPr="00103042">
        <w:rPr>
          <w:rFonts w:ascii="Arial" w:hAnsi="Arial" w:cs="Arial"/>
        </w:rPr>
        <w:t>​</w:t>
      </w:r>
    </w:p>
    <w:p w14:paraId="19672ADA" w14:textId="3EC15DF6" w:rsidR="00103042" w:rsidRPr="00103042" w:rsidRDefault="00103042" w:rsidP="00103042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Build a digital accessibility infrastructure, including the development and implementation of a Digital Accessibility Plan through the Digital Accessibility Working Group (DAWG), with attention to governance, accountability, and continuous improvement. ​</w:t>
      </w:r>
    </w:p>
    <w:p w14:paraId="25E3AC83" w14:textId="77777777" w:rsidR="00103042" w:rsidRPr="00103042" w:rsidRDefault="00103042" w:rsidP="00103042">
      <w:pPr>
        <w:rPr>
          <w:rFonts w:ascii="Calibri" w:hAnsi="Calibri" w:cs="Calibri"/>
        </w:rPr>
      </w:pPr>
    </w:p>
    <w:p w14:paraId="70033EFE" w14:textId="3A8626F2" w:rsidR="00103042" w:rsidRPr="00103042" w:rsidRDefault="00103042" w:rsidP="00103042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Communicate resources to employees and students around the accommodation processes, with an emphasis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on clarity, timeliness, and equitable access to support. ​</w:t>
      </w:r>
    </w:p>
    <w:p w14:paraId="47949B92" w14:textId="583AA886" w:rsidR="00103042" w:rsidRPr="00103042" w:rsidRDefault="00103042" w:rsidP="00103042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Revise the Accessibility Policy in consultation with disabled staff, students, and faculty. ​</w:t>
      </w:r>
    </w:p>
    <w:p w14:paraId="2B210F46" w14:textId="30FE4D95" w:rsidR="00103042" w:rsidRPr="00103042" w:rsidRDefault="00C927CD" w:rsidP="00103042">
      <w:pPr>
        <w:pStyle w:val="Heading2"/>
      </w:pPr>
      <w:r>
        <w:t>Priority Commitment</w:t>
      </w:r>
      <w:r w:rsidR="00103042" w:rsidRPr="00103042">
        <w:t xml:space="preserve">: Information and Communications </w:t>
      </w:r>
      <w:r w:rsidR="00103042" w:rsidRPr="00C927CD">
        <w:rPr>
          <w:i/>
          <w:iCs/>
        </w:rPr>
        <w:t>(sunlight)</w:t>
      </w:r>
      <w:r w:rsidR="00103042" w:rsidRPr="00C927CD">
        <w:rPr>
          <w:rFonts w:ascii="Arial" w:hAnsi="Arial" w:cs="Arial"/>
          <w:i/>
          <w:iCs/>
        </w:rPr>
        <w:t>​</w:t>
      </w:r>
    </w:p>
    <w:p w14:paraId="48343348" w14:textId="6495C7EB" w:rsidR="00103042" w:rsidRPr="00103042" w:rsidRDefault="00103042" w:rsidP="00103042">
      <w:pPr>
        <w:rPr>
          <w:rFonts w:ascii="Calibri" w:hAnsi="Calibri" w:cs="Calibri"/>
        </w:rPr>
      </w:pPr>
      <w:r w:rsidRPr="00103042">
        <w:rPr>
          <w:rFonts w:ascii="Calibri" w:hAnsi="Calibri" w:cs="Calibri"/>
        </w:rPr>
        <w:t>​A commitment to ensuring that information shared by the University is accessible, usable, and inclusive across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formats, platforms, and audiences.  ​</w:t>
      </w:r>
    </w:p>
    <w:p w14:paraId="46F86C6F" w14:textId="53252342" w:rsidR="00103042" w:rsidRPr="00103042" w:rsidRDefault="00103042" w:rsidP="00103042">
      <w:pPr>
        <w:pStyle w:val="Heading3"/>
      </w:pPr>
      <w:r w:rsidRPr="00103042">
        <w:t>Goals</w:t>
      </w:r>
      <w:r w:rsidRPr="00103042">
        <w:rPr>
          <w:rFonts w:ascii="Arial" w:hAnsi="Arial" w:cs="Arial"/>
        </w:rPr>
        <w:t>​</w:t>
      </w:r>
    </w:p>
    <w:p w14:paraId="5B99E879" w14:textId="7FEE3C99" w:rsidR="00103042" w:rsidRPr="00103042" w:rsidRDefault="00103042" w:rsidP="0010304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Deliver education and training on accessibility in various modalities, including institution-wide offerings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coordinated through the Human Rights and Equity Office (HREO), with ongoing review of participation, reach,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and impact. ​</w:t>
      </w:r>
    </w:p>
    <w:p w14:paraId="59BC276F" w14:textId="0A25BAEA" w:rsidR="00103042" w:rsidRPr="00103042" w:rsidRDefault="00103042" w:rsidP="0010304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Provide centralized accessibility information, including the ongoing redevelopment and maintenance of the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Accessibility Hub as a key institutional resource for students, employees, and community members. ​</w:t>
      </w:r>
    </w:p>
    <w:p w14:paraId="4FA1FACB" w14:textId="3FC2F397" w:rsidR="00103042" w:rsidRPr="00103042" w:rsidRDefault="00103042" w:rsidP="0010304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Maintain accessible communications practices, supporting plain language, alternative formats, and inclusive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design principles across institutional communications. ​</w:t>
      </w:r>
    </w:p>
    <w:p w14:paraId="3839F845" w14:textId="499E51E9" w:rsidR="00103042" w:rsidRPr="00103042" w:rsidRDefault="00C927CD" w:rsidP="00103042">
      <w:pPr>
        <w:pStyle w:val="Heading2"/>
      </w:pPr>
      <w:r>
        <w:t>Priority Commitment</w:t>
      </w:r>
      <w:r w:rsidR="00103042" w:rsidRPr="00103042">
        <w:t xml:space="preserve">: Accessible Physical Environments </w:t>
      </w:r>
      <w:r w:rsidR="00103042" w:rsidRPr="00C927CD">
        <w:rPr>
          <w:i/>
          <w:iCs/>
        </w:rPr>
        <w:t>(garden beds and pathways)</w:t>
      </w:r>
      <w:r w:rsidR="00103042" w:rsidRPr="00C927CD">
        <w:rPr>
          <w:rFonts w:ascii="Arial" w:hAnsi="Arial" w:cs="Arial"/>
          <w:i/>
          <w:iCs/>
        </w:rPr>
        <w:t>​</w:t>
      </w:r>
    </w:p>
    <w:p w14:paraId="45FA2579" w14:textId="497E39C0" w:rsidR="00103042" w:rsidRPr="00103042" w:rsidRDefault="00103042" w:rsidP="00103042">
      <w:pPr>
        <w:rPr>
          <w:rFonts w:ascii="Calibri" w:hAnsi="Calibri" w:cs="Calibri"/>
        </w:rPr>
      </w:pPr>
      <w:r w:rsidRPr="00103042">
        <w:rPr>
          <w:rFonts w:ascii="Calibri" w:hAnsi="Calibri" w:cs="Calibri"/>
        </w:rPr>
        <w:t>​Addresses the accessibility of the built environment and physical campus spaces, recognizing their central role in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enabling full participation in academic and campus life.  ​</w:t>
      </w:r>
    </w:p>
    <w:p w14:paraId="4610BAAE" w14:textId="0A7A5830" w:rsidR="00103042" w:rsidRPr="00103042" w:rsidRDefault="00103042" w:rsidP="00103042">
      <w:pPr>
        <w:pStyle w:val="Heading3"/>
      </w:pPr>
      <w:r w:rsidRPr="00103042">
        <w:t>Goals</w:t>
      </w:r>
      <w:r w:rsidRPr="00103042">
        <w:rPr>
          <w:rFonts w:ascii="Arial" w:hAnsi="Arial" w:cs="Arial"/>
        </w:rPr>
        <w:t>​</w:t>
      </w:r>
    </w:p>
    <w:p w14:paraId="7A80387E" w14:textId="2D5585B6" w:rsidR="00103042" w:rsidRPr="00103042" w:rsidRDefault="00103042" w:rsidP="0010304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Continue working with the Built Environment Accessibility Working Group (BEWG) and related advisory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bodies in supporting planning, prioritization, and oversight of physical accessibility initiatives. ​</w:t>
      </w:r>
    </w:p>
    <w:p w14:paraId="27014DE1" w14:textId="4C29311A" w:rsidR="00103042" w:rsidRPr="00103042" w:rsidRDefault="00103042" w:rsidP="0010304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Provide updates on campus facilities planning and upgrades, including barrier identification, remediation, and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long-term accessibility considerations in capital planning. ​</w:t>
      </w:r>
    </w:p>
    <w:p w14:paraId="693F11CE" w14:textId="7A503630" w:rsidR="00103042" w:rsidRPr="00103042" w:rsidRDefault="00103042" w:rsidP="0010304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Enhance communication channels, supporting independence and safety for all community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members via numerous mechanisms (including the dynamic campus map)​</w:t>
      </w:r>
    </w:p>
    <w:p w14:paraId="0CE7E27E" w14:textId="232648A6" w:rsidR="00103042" w:rsidRPr="00103042" w:rsidRDefault="00C927CD" w:rsidP="00103042">
      <w:pPr>
        <w:pStyle w:val="Heading2"/>
      </w:pPr>
      <w:r>
        <w:t>Priority Commitment</w:t>
      </w:r>
      <w:r w:rsidR="00103042" w:rsidRPr="00103042">
        <w:t>: People and Inclusion</w:t>
      </w:r>
      <w:r w:rsidR="00103042" w:rsidRPr="00C927CD">
        <w:rPr>
          <w:i/>
          <w:iCs/>
        </w:rPr>
        <w:t xml:space="preserve"> (gardeners)</w:t>
      </w:r>
      <w:r w:rsidR="00103042" w:rsidRPr="00C927CD">
        <w:rPr>
          <w:rFonts w:ascii="Arial" w:hAnsi="Arial" w:cs="Arial"/>
          <w:i/>
          <w:iCs/>
        </w:rPr>
        <w:t>​</w:t>
      </w:r>
    </w:p>
    <w:p w14:paraId="339AEBF8" w14:textId="36E8AECD" w:rsidR="00103042" w:rsidRPr="00103042" w:rsidRDefault="00103042" w:rsidP="00103042">
      <w:pPr>
        <w:rPr>
          <w:rFonts w:ascii="Calibri" w:hAnsi="Calibri" w:cs="Calibri"/>
        </w:rPr>
      </w:pPr>
      <w:r w:rsidRPr="00103042">
        <w:rPr>
          <w:rFonts w:ascii="Calibri" w:hAnsi="Calibri" w:cs="Calibri"/>
        </w:rPr>
        <w:t>​</w:t>
      </w:r>
    </w:p>
    <w:p w14:paraId="687059DD" w14:textId="0E073686" w:rsidR="00103042" w:rsidRPr="00103042" w:rsidRDefault="00103042" w:rsidP="00103042">
      <w:pPr>
        <w:rPr>
          <w:rFonts w:ascii="Calibri" w:hAnsi="Calibri" w:cs="Calibri"/>
        </w:rPr>
      </w:pPr>
      <w:r w:rsidRPr="00103042">
        <w:rPr>
          <w:rFonts w:ascii="Calibri" w:hAnsi="Calibri" w:cs="Calibri"/>
        </w:rPr>
        <w:t>A focus on accessibility and inclusion across the employment lifecycle, from recruitment to retention an</w:t>
      </w:r>
      <w:r>
        <w:rPr>
          <w:rFonts w:ascii="Calibri" w:hAnsi="Calibri" w:cs="Calibri"/>
        </w:rPr>
        <w:t xml:space="preserve">d </w:t>
      </w:r>
      <w:r w:rsidRPr="00103042">
        <w:rPr>
          <w:rFonts w:ascii="Calibri" w:hAnsi="Calibri" w:cs="Calibri"/>
        </w:rPr>
        <w:t>advancement including onboarding, accommodation processes, professional development, leadership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opportunities, and the everyday work environments. ​</w:t>
      </w:r>
    </w:p>
    <w:p w14:paraId="2AB2A5EE" w14:textId="45C3694D" w:rsidR="00103042" w:rsidRPr="00103042" w:rsidRDefault="00103042" w:rsidP="00C927CD">
      <w:pPr>
        <w:pStyle w:val="Heading3"/>
      </w:pPr>
      <w:r w:rsidRPr="00103042">
        <w:t>Goals</w:t>
      </w:r>
      <w:r w:rsidRPr="00103042">
        <w:rPr>
          <w:rFonts w:ascii="Arial" w:hAnsi="Arial" w:cs="Arial"/>
        </w:rPr>
        <w:t>​</w:t>
      </w:r>
    </w:p>
    <w:p w14:paraId="4209C9D4" w14:textId="2229EF75" w:rsidR="00103042" w:rsidRPr="00103042" w:rsidRDefault="00103042" w:rsidP="00103042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Continue to foster informed Human Resources processes, including accommodations, policies, and service delivery models,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with attention to consistency, transparency, and employee experience. ​</w:t>
      </w:r>
    </w:p>
    <w:p w14:paraId="07EE0246" w14:textId="47AA4889" w:rsidR="00103042" w:rsidRPr="00103042" w:rsidRDefault="00103042" w:rsidP="00103042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Maintain equitable hiring practices, including ongoing review and enhancement of the employment equity process and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procedure to better support disabled applicants and employees. ​</w:t>
      </w:r>
    </w:p>
    <w:p w14:paraId="68505542" w14:textId="7F295297" w:rsidR="00103042" w:rsidRPr="00103042" w:rsidRDefault="00103042" w:rsidP="00103042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Identify and work on closing employment-related gaps for persons with disabilities in key employment groups across the</w:t>
      </w:r>
      <w:r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University.  ​</w:t>
      </w:r>
    </w:p>
    <w:p w14:paraId="26C33019" w14:textId="299FC6E7" w:rsidR="00103042" w:rsidRPr="00C927CD" w:rsidRDefault="00103042" w:rsidP="00103042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103042">
        <w:rPr>
          <w:rFonts w:ascii="Calibri" w:hAnsi="Calibri" w:cs="Calibri"/>
        </w:rPr>
        <w:t>Confer and collaborate with disabled students on programming, policy development, and other initiatives, including the</w:t>
      </w:r>
      <w:r w:rsidR="00C927CD">
        <w:rPr>
          <w:rFonts w:ascii="Calibri" w:hAnsi="Calibri" w:cs="Calibri"/>
        </w:rPr>
        <w:t xml:space="preserve"> </w:t>
      </w:r>
      <w:r w:rsidRPr="00C927CD">
        <w:rPr>
          <w:rFonts w:ascii="Calibri" w:hAnsi="Calibri" w:cs="Calibri"/>
        </w:rPr>
        <w:t>Accessibility Queen’s Advisory Committee comprised of students and a staff representative.  ​</w:t>
      </w:r>
    </w:p>
    <w:p w14:paraId="0926874F" w14:textId="01531A26" w:rsidR="00103042" w:rsidRPr="00103042" w:rsidRDefault="00C927CD" w:rsidP="00103042">
      <w:pPr>
        <w:rPr>
          <w:rFonts w:ascii="Calibri" w:hAnsi="Calibri" w:cs="Calibri"/>
        </w:rPr>
      </w:pPr>
      <w:r>
        <w:rPr>
          <w:rStyle w:val="Heading2Char"/>
        </w:rPr>
        <w:t xml:space="preserve">Priority Commitment: </w:t>
      </w:r>
      <w:r w:rsidR="00103042" w:rsidRPr="00C927CD">
        <w:rPr>
          <w:rStyle w:val="Heading2Char"/>
        </w:rPr>
        <w:t xml:space="preserve">Teaching, Learning, and the Academic Experience </w:t>
      </w:r>
      <w:r w:rsidR="00103042" w:rsidRPr="00C927CD">
        <w:rPr>
          <w:rStyle w:val="Heading2Char"/>
          <w:i/>
          <w:iCs/>
        </w:rPr>
        <w:t>(growing plants)</w:t>
      </w:r>
      <w:r w:rsidR="00103042" w:rsidRPr="00C927CD">
        <w:rPr>
          <w:rStyle w:val="Heading2Char"/>
          <w:rFonts w:ascii="Arial" w:hAnsi="Arial" w:cs="Arial"/>
          <w:i/>
          <w:iCs/>
        </w:rPr>
        <w:t>​</w:t>
      </w:r>
    </w:p>
    <w:p w14:paraId="51BCF46E" w14:textId="7ADAF2C5" w:rsidR="00103042" w:rsidRPr="00103042" w:rsidRDefault="00103042" w:rsidP="00103042">
      <w:pPr>
        <w:rPr>
          <w:rFonts w:ascii="Calibri" w:hAnsi="Calibri" w:cs="Calibri"/>
        </w:rPr>
      </w:pPr>
      <w:r w:rsidRPr="00103042">
        <w:rPr>
          <w:rFonts w:ascii="Calibri" w:hAnsi="Calibri" w:cs="Calibri"/>
        </w:rPr>
        <w:t>​A focus on accessibility within teaching, learning, and academic programs, recognizing accessibility as integral to</w:t>
      </w:r>
      <w:r w:rsidR="00C927CD"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student success. This includes curriculum design, course delivery, assessment, experiential learning, academic</w:t>
      </w:r>
      <w:r w:rsidR="00C927CD">
        <w:rPr>
          <w:rFonts w:ascii="Calibri" w:hAnsi="Calibri" w:cs="Calibri"/>
        </w:rPr>
        <w:t xml:space="preserve"> </w:t>
      </w:r>
      <w:r w:rsidRPr="00103042">
        <w:rPr>
          <w:rFonts w:ascii="Calibri" w:hAnsi="Calibri" w:cs="Calibri"/>
        </w:rPr>
        <w:t>policies, and the lived classroom experience of students. ​</w:t>
      </w:r>
    </w:p>
    <w:p w14:paraId="09A33721" w14:textId="3CA06069" w:rsidR="00103042" w:rsidRPr="00103042" w:rsidRDefault="00103042" w:rsidP="00C927CD">
      <w:pPr>
        <w:pStyle w:val="Heading3"/>
      </w:pPr>
      <w:r w:rsidRPr="00103042">
        <w:t>Goals</w:t>
      </w:r>
      <w:r w:rsidRPr="00103042">
        <w:rPr>
          <w:rFonts w:ascii="Arial" w:hAnsi="Arial" w:cs="Arial"/>
        </w:rPr>
        <w:t>​</w:t>
      </w:r>
    </w:p>
    <w:p w14:paraId="2AA9B12D" w14:textId="34341491" w:rsidR="00103042" w:rsidRPr="00C927CD" w:rsidRDefault="00103042" w:rsidP="0010304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C927CD">
        <w:rPr>
          <w:rFonts w:ascii="Calibri" w:hAnsi="Calibri" w:cs="Calibri"/>
        </w:rPr>
        <w:t>Foster faculty and instructor development, including supports provided through the Centre for Teaching and Learning (CTL). ​</w:t>
      </w:r>
    </w:p>
    <w:p w14:paraId="69BA86D7" w14:textId="6A4A4199" w:rsidR="00103042" w:rsidRPr="00C927CD" w:rsidRDefault="00103042" w:rsidP="0010304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C927CD">
        <w:rPr>
          <w:rFonts w:ascii="Calibri" w:hAnsi="Calibri" w:cs="Calibri"/>
        </w:rPr>
        <w:t>Support the delivery of equity-focused academic research initiatives, such as the Dimensions program, that intersect with</w:t>
      </w:r>
      <w:r w:rsidR="00C927CD">
        <w:rPr>
          <w:rFonts w:ascii="Calibri" w:hAnsi="Calibri" w:cs="Calibri"/>
        </w:rPr>
        <w:t xml:space="preserve"> </w:t>
      </w:r>
      <w:r w:rsidRPr="00C927CD">
        <w:rPr>
          <w:rFonts w:ascii="Calibri" w:hAnsi="Calibri" w:cs="Calibri"/>
        </w:rPr>
        <w:t>accessibility and inclusive excellence.  ​</w:t>
      </w:r>
    </w:p>
    <w:p w14:paraId="76498B3F" w14:textId="6C72A05F" w:rsidR="00103042" w:rsidRPr="00C927CD" w:rsidRDefault="00103042" w:rsidP="0010304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C927CD">
        <w:rPr>
          <w:rFonts w:ascii="Calibri" w:hAnsi="Calibri" w:cs="Calibri"/>
        </w:rPr>
        <w:t>Support the facilitation of departmental and faculty-level accessibility plans supporting alignment between institutional</w:t>
      </w:r>
      <w:r w:rsidR="00C927CD">
        <w:rPr>
          <w:rFonts w:ascii="Calibri" w:hAnsi="Calibri" w:cs="Calibri"/>
        </w:rPr>
        <w:t xml:space="preserve"> </w:t>
      </w:r>
      <w:r w:rsidRPr="00C927CD">
        <w:rPr>
          <w:rFonts w:ascii="Calibri" w:hAnsi="Calibri" w:cs="Calibri"/>
        </w:rPr>
        <w:t>priorities and local academic contexts (utilization of DEAP).​</w:t>
      </w:r>
    </w:p>
    <w:p w14:paraId="6DB6531F" w14:textId="329E2281" w:rsidR="00103042" w:rsidRPr="00554DB8" w:rsidRDefault="00103042" w:rsidP="0010304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C927CD">
        <w:rPr>
          <w:rFonts w:ascii="Calibri" w:hAnsi="Calibri" w:cs="Calibri"/>
        </w:rPr>
        <w:t>Supporting advancing students with disabilities as active co-cultivators of accessible academic environments through</w:t>
      </w:r>
      <w:r w:rsidR="00C927CD">
        <w:rPr>
          <w:rFonts w:ascii="Calibri" w:hAnsi="Calibri" w:cs="Calibri"/>
        </w:rPr>
        <w:t xml:space="preserve"> </w:t>
      </w:r>
      <w:r w:rsidRPr="00C927CD">
        <w:rPr>
          <w:rFonts w:ascii="Calibri" w:hAnsi="Calibri" w:cs="Calibri"/>
        </w:rPr>
        <w:t>consultation, feedback, and collaborative efforts.​</w:t>
      </w:r>
    </w:p>
    <w:p w14:paraId="0E7C51F1" w14:textId="03EEBC58" w:rsidR="00103042" w:rsidRPr="00103042" w:rsidRDefault="00103042" w:rsidP="00103042">
      <w:pPr>
        <w:rPr>
          <w:rFonts w:ascii="Calibri" w:hAnsi="Calibri" w:cs="Calibri"/>
        </w:rPr>
      </w:pPr>
      <w:r w:rsidRPr="00103042">
        <w:rPr>
          <w:rFonts w:ascii="Calibri" w:hAnsi="Calibri" w:cs="Calibri"/>
        </w:rPr>
        <w:t> ​</w:t>
      </w:r>
    </w:p>
    <w:sectPr w:rsidR="00103042" w:rsidRPr="0010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606A"/>
    <w:multiLevelType w:val="hybridMultilevel"/>
    <w:tmpl w:val="2226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864C2"/>
    <w:multiLevelType w:val="hybridMultilevel"/>
    <w:tmpl w:val="4646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70390"/>
    <w:multiLevelType w:val="hybridMultilevel"/>
    <w:tmpl w:val="BFC4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D0808"/>
    <w:multiLevelType w:val="hybridMultilevel"/>
    <w:tmpl w:val="B7B4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C08C2"/>
    <w:multiLevelType w:val="hybridMultilevel"/>
    <w:tmpl w:val="3B08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F2CDC"/>
    <w:multiLevelType w:val="hybridMultilevel"/>
    <w:tmpl w:val="41C4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34B77"/>
    <w:multiLevelType w:val="hybridMultilevel"/>
    <w:tmpl w:val="9C94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A1AA8"/>
    <w:multiLevelType w:val="hybridMultilevel"/>
    <w:tmpl w:val="9FDE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97A23"/>
    <w:multiLevelType w:val="hybridMultilevel"/>
    <w:tmpl w:val="CF76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07960">
    <w:abstractNumId w:val="0"/>
  </w:num>
  <w:num w:numId="2" w16cid:durableId="1251232843">
    <w:abstractNumId w:val="2"/>
  </w:num>
  <w:num w:numId="3" w16cid:durableId="1310011453">
    <w:abstractNumId w:val="5"/>
  </w:num>
  <w:num w:numId="4" w16cid:durableId="1348021962">
    <w:abstractNumId w:val="1"/>
  </w:num>
  <w:num w:numId="5" w16cid:durableId="1586499076">
    <w:abstractNumId w:val="7"/>
  </w:num>
  <w:num w:numId="6" w16cid:durableId="2043626818">
    <w:abstractNumId w:val="3"/>
  </w:num>
  <w:num w:numId="7" w16cid:durableId="382213287">
    <w:abstractNumId w:val="8"/>
  </w:num>
  <w:num w:numId="8" w16cid:durableId="569658828">
    <w:abstractNumId w:val="6"/>
  </w:num>
  <w:num w:numId="9" w16cid:durableId="86387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42"/>
    <w:rsid w:val="00103042"/>
    <w:rsid w:val="0024389B"/>
    <w:rsid w:val="002E0619"/>
    <w:rsid w:val="004D6C9F"/>
    <w:rsid w:val="00554DB8"/>
    <w:rsid w:val="0063012D"/>
    <w:rsid w:val="00682ED2"/>
    <w:rsid w:val="00730184"/>
    <w:rsid w:val="008740B9"/>
    <w:rsid w:val="009D189E"/>
    <w:rsid w:val="00A11117"/>
    <w:rsid w:val="00BA116A"/>
    <w:rsid w:val="00C927CD"/>
    <w:rsid w:val="00EF5376"/>
    <w:rsid w:val="00F0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C9EE5"/>
  <w15:chartTrackingRefBased/>
  <w15:docId w15:val="{211194AE-B0EC-4AD4-B4BF-7744E672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3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3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3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Brothers</dc:creator>
  <cp:keywords/>
  <dc:description/>
  <cp:lastModifiedBy>Kate Brothers</cp:lastModifiedBy>
  <cp:revision>1</cp:revision>
  <dcterms:created xsi:type="dcterms:W3CDTF">2026-03-10T12:46:00Z</dcterms:created>
  <dcterms:modified xsi:type="dcterms:W3CDTF">2026-03-11T15:02:00Z</dcterms:modified>
</cp:coreProperties>
</file>