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F1716" w14:textId="38E40AAE" w:rsidR="008B6A8C" w:rsidRDefault="0002334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616F96" wp14:editId="31537C4E">
                <wp:simplePos x="0" y="0"/>
                <wp:positionH relativeFrom="column">
                  <wp:posOffset>1449481</wp:posOffset>
                </wp:positionH>
                <wp:positionV relativeFrom="paragraph">
                  <wp:posOffset>15875</wp:posOffset>
                </wp:positionV>
                <wp:extent cx="3689985" cy="1828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98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EE417B" w14:textId="6E1DE9D0" w:rsidR="00192772" w:rsidRPr="00FE6CC0" w:rsidRDefault="008D724E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Transforming Teaching 101</w:t>
                            </w:r>
                          </w:p>
                          <w:p w14:paraId="7253171F" w14:textId="108EA124" w:rsidR="00192772" w:rsidRPr="00D10CA7" w:rsidRDefault="008D724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Lauren Anstey, </w:t>
                            </w:r>
                            <w:r w:rsidR="00192772" w:rsidRPr="00D10CA7">
                              <w:rPr>
                                <w:sz w:val="32"/>
                                <w:szCs w:val="32"/>
                              </w:rPr>
                              <w:t xml:space="preserve">Robin Attas,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Lindsay Brant</w:t>
                            </w:r>
                          </w:p>
                          <w:p w14:paraId="78AB01CF" w14:textId="4AC8AE48" w:rsidR="00192772" w:rsidRPr="00D10CA7" w:rsidRDefault="0019277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10CA7">
                              <w:rPr>
                                <w:sz w:val="32"/>
                                <w:szCs w:val="32"/>
                              </w:rPr>
                              <w:t>Educational Developer</w:t>
                            </w:r>
                            <w:r w:rsidR="008D724E"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  <w:r w:rsidRPr="00D10CA7">
                              <w:rPr>
                                <w:sz w:val="32"/>
                                <w:szCs w:val="32"/>
                              </w:rPr>
                              <w:t xml:space="preserve">, </w:t>
                            </w:r>
                          </w:p>
                          <w:p w14:paraId="537164A6" w14:textId="77777777" w:rsidR="00192772" w:rsidRPr="00602A89" w:rsidRDefault="0019277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10CA7">
                              <w:rPr>
                                <w:sz w:val="32"/>
                                <w:szCs w:val="32"/>
                              </w:rPr>
                              <w:t>Centre for Teaching and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616F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4.15pt;margin-top:1.25pt;width:290.55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" filled="f" stroked="f" strokeweight=".5pt">
                <v:textbox style="mso-fit-shape-to-text:t">
                  <w:txbxContent>
                    <w:p w14:paraId="7FEE417B" w14:textId="6E1DE9D0" w:rsidR="00192772" w:rsidRPr="00FE6CC0" w:rsidRDefault="008D724E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Transforming Teaching 101</w:t>
                      </w:r>
                    </w:p>
                    <w:p w14:paraId="7253171F" w14:textId="108EA124" w:rsidR="00192772" w:rsidRPr="00D10CA7" w:rsidRDefault="008D724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Lauren Anstey, </w:t>
                      </w:r>
                      <w:r w:rsidR="00192772" w:rsidRPr="00D10CA7">
                        <w:rPr>
                          <w:sz w:val="32"/>
                          <w:szCs w:val="32"/>
                        </w:rPr>
                        <w:t xml:space="preserve">Robin Attas, </w:t>
                      </w:r>
                      <w:r>
                        <w:rPr>
                          <w:sz w:val="32"/>
                          <w:szCs w:val="32"/>
                        </w:rPr>
                        <w:t>Lindsay Brant</w:t>
                      </w:r>
                    </w:p>
                    <w:p w14:paraId="78AB01CF" w14:textId="4AC8AE48" w:rsidR="00192772" w:rsidRPr="00D10CA7" w:rsidRDefault="00192772">
                      <w:pPr>
                        <w:rPr>
                          <w:sz w:val="32"/>
                          <w:szCs w:val="32"/>
                        </w:rPr>
                      </w:pPr>
                      <w:r w:rsidRPr="00D10CA7">
                        <w:rPr>
                          <w:sz w:val="32"/>
                          <w:szCs w:val="32"/>
                        </w:rPr>
                        <w:t>Educational Developer</w:t>
                      </w:r>
                      <w:r w:rsidR="008D724E">
                        <w:rPr>
                          <w:sz w:val="32"/>
                          <w:szCs w:val="32"/>
                        </w:rPr>
                        <w:t>s</w:t>
                      </w:r>
                      <w:r w:rsidRPr="00D10CA7">
                        <w:rPr>
                          <w:sz w:val="32"/>
                          <w:szCs w:val="32"/>
                        </w:rPr>
                        <w:t xml:space="preserve">, </w:t>
                      </w:r>
                    </w:p>
                    <w:p w14:paraId="537164A6" w14:textId="77777777" w:rsidR="00192772" w:rsidRPr="00602A89" w:rsidRDefault="00192772">
                      <w:pPr>
                        <w:rPr>
                          <w:sz w:val="32"/>
                          <w:szCs w:val="32"/>
                        </w:rPr>
                      </w:pPr>
                      <w:r w:rsidRPr="00D10CA7">
                        <w:rPr>
                          <w:sz w:val="32"/>
                          <w:szCs w:val="32"/>
                        </w:rPr>
                        <w:t>Centre for Teaching and Learning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3070F">
        <w:rPr>
          <w:noProof/>
        </w:rPr>
        <w:drawing>
          <wp:anchor distT="0" distB="0" distL="114300" distR="114300" simplePos="0" relativeHeight="251658241" behindDoc="0" locked="0" layoutInCell="1" allowOverlap="1" wp14:anchorId="0EBCB6AE" wp14:editId="3497C01A">
            <wp:simplePos x="0" y="0"/>
            <wp:positionH relativeFrom="column">
              <wp:posOffset>5035344</wp:posOffset>
            </wp:positionH>
            <wp:positionV relativeFrom="paragraph">
              <wp:posOffset>14588</wp:posOffset>
            </wp:positionV>
            <wp:extent cx="923001" cy="1085128"/>
            <wp:effectExtent l="0" t="0" r="4445" b="0"/>
            <wp:wrapNone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0" r="5995" b="5774"/>
                    <a:stretch/>
                  </pic:blipFill>
                  <pic:spPr bwMode="auto">
                    <a:xfrm>
                      <a:off x="0" y="0"/>
                      <a:ext cx="923001" cy="1085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CDBF9" w14:textId="62789DA0" w:rsidR="00D01F82" w:rsidRDefault="00023342">
      <w:r>
        <w:rPr>
          <w:noProof/>
          <w:sz w:val="36"/>
          <w:szCs w:val="36"/>
        </w:rPr>
        <w:drawing>
          <wp:anchor distT="0" distB="0" distL="114300" distR="114300" simplePos="0" relativeHeight="251658242" behindDoc="0" locked="0" layoutInCell="1" allowOverlap="1" wp14:anchorId="651DF64F" wp14:editId="23E1B44B">
            <wp:simplePos x="0" y="0"/>
            <wp:positionH relativeFrom="column">
              <wp:posOffset>-172994</wp:posOffset>
            </wp:positionH>
            <wp:positionV relativeFrom="paragraph">
              <wp:posOffset>65302</wp:posOffset>
            </wp:positionV>
            <wp:extent cx="1573328" cy="740616"/>
            <wp:effectExtent l="0" t="0" r="1905" b="0"/>
            <wp:wrapNone/>
            <wp:docPr id="6" name="Picture 6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TL infinity loop_tr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328" cy="740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7909F" w14:textId="6B032354" w:rsidR="00D01F82" w:rsidRDefault="00D01F82"/>
    <w:p w14:paraId="40BAC005" w14:textId="359F2FB0" w:rsidR="00D01F82" w:rsidRPr="009B3563" w:rsidRDefault="00D01F82">
      <w:pPr>
        <w:rPr>
          <w:sz w:val="36"/>
          <w:szCs w:val="36"/>
        </w:rPr>
      </w:pPr>
    </w:p>
    <w:p w14:paraId="29060CB4" w14:textId="4E25C973" w:rsidR="00192772" w:rsidRDefault="00192772" w:rsidP="009B3563">
      <w:pPr>
        <w:rPr>
          <w:sz w:val="36"/>
          <w:szCs w:val="36"/>
        </w:rPr>
      </w:pPr>
    </w:p>
    <w:p w14:paraId="74AD38E8" w14:textId="156BC531" w:rsidR="00192772" w:rsidRDefault="00192772" w:rsidP="009B3563">
      <w:pPr>
        <w:rPr>
          <w:sz w:val="36"/>
          <w:szCs w:val="36"/>
        </w:rPr>
      </w:pPr>
    </w:p>
    <w:p w14:paraId="53A50E81" w14:textId="59D164AC" w:rsidR="001A2056" w:rsidRDefault="00C16126" w:rsidP="00BB659F">
      <w:pPr>
        <w:ind w:left="1440" w:hanging="1440"/>
        <w:rPr>
          <w:sz w:val="36"/>
          <w:szCs w:val="36"/>
        </w:rPr>
      </w:pPr>
      <w:r>
        <w:rPr>
          <w:sz w:val="36"/>
          <w:szCs w:val="36"/>
        </w:rPr>
        <w:t>The ‘Rule of 2s’ Worksheet</w:t>
      </w:r>
    </w:p>
    <w:p w14:paraId="04F5082F" w14:textId="64BA5CFB" w:rsidR="003903E4" w:rsidRPr="00C8277B" w:rsidRDefault="003903E4" w:rsidP="003903E4">
      <w:pPr>
        <w:rPr>
          <w:i/>
          <w:iCs/>
        </w:rPr>
      </w:pPr>
      <w:r w:rsidRPr="00C8277B">
        <w:rPr>
          <w:i/>
          <w:iCs/>
        </w:rPr>
        <w:t xml:space="preserve">Adapted from the </w:t>
      </w:r>
      <w:hyperlink r:id="rId12" w:history="1">
        <w:r w:rsidRPr="00241C7D">
          <w:rPr>
            <w:rStyle w:val="Hyperlink"/>
            <w:i/>
            <w:iCs/>
          </w:rPr>
          <w:t>Rule of 2 Worksheet</w:t>
        </w:r>
      </w:hyperlink>
      <w:r w:rsidRPr="00C8277B">
        <w:rPr>
          <w:i/>
          <w:iCs/>
        </w:rPr>
        <w:t xml:space="preserve"> created by the Open Learning &amp; Teaching Collaborative at Plymouth University</w:t>
      </w:r>
    </w:p>
    <w:p w14:paraId="47479731" w14:textId="77777777" w:rsidR="003903E4" w:rsidRDefault="003903E4" w:rsidP="003903E4"/>
    <w:p w14:paraId="68DC9EFE" w14:textId="1381CE4D" w:rsidR="003903E4" w:rsidRDefault="003903E4" w:rsidP="003903E4">
      <w:r>
        <w:t xml:space="preserve">What are two </w:t>
      </w:r>
      <w:r w:rsidRPr="005E6F37">
        <w:rPr>
          <w:b/>
          <w:bCs/>
        </w:rPr>
        <w:t>guiding principles</w:t>
      </w:r>
      <w:r>
        <w:t xml:space="preserve"> that you want to keep in mind as you redesign your course?</w:t>
      </w:r>
    </w:p>
    <w:p w14:paraId="27298C2B" w14:textId="6B98C298" w:rsidR="003903E4" w:rsidRDefault="003903E4" w:rsidP="003903E4">
      <w:r>
        <w:tab/>
        <w:t>1.</w:t>
      </w:r>
    </w:p>
    <w:p w14:paraId="7FF31DDE" w14:textId="77777777" w:rsidR="003903E4" w:rsidRDefault="003903E4" w:rsidP="003903E4">
      <w:r>
        <w:tab/>
        <w:t>2.</w:t>
      </w:r>
    </w:p>
    <w:p w14:paraId="2CCDBC18" w14:textId="77777777" w:rsidR="003903E4" w:rsidRDefault="003903E4" w:rsidP="003903E4"/>
    <w:p w14:paraId="34E0D6B1" w14:textId="01736901" w:rsidR="003903E4" w:rsidRDefault="003903E4" w:rsidP="003903E4">
      <w:r>
        <w:t xml:space="preserve">What are two </w:t>
      </w:r>
      <w:r>
        <w:rPr>
          <w:b/>
          <w:bCs/>
        </w:rPr>
        <w:t>skills or dispositions</w:t>
      </w:r>
      <w:r>
        <w:t xml:space="preserve"> that you want students to have or demonstrate by the end of this course?</w:t>
      </w:r>
    </w:p>
    <w:p w14:paraId="7E23115E" w14:textId="4BAF18BC" w:rsidR="003903E4" w:rsidRDefault="003903E4" w:rsidP="003903E4">
      <w:r>
        <w:tab/>
        <w:t>1.</w:t>
      </w:r>
    </w:p>
    <w:p w14:paraId="225E3185" w14:textId="77777777" w:rsidR="003903E4" w:rsidRDefault="003903E4" w:rsidP="003903E4">
      <w:r>
        <w:tab/>
        <w:t>2.</w:t>
      </w:r>
    </w:p>
    <w:p w14:paraId="129E843A" w14:textId="77777777" w:rsidR="003903E4" w:rsidRDefault="003903E4" w:rsidP="003903E4"/>
    <w:p w14:paraId="3F24B5FE" w14:textId="5AA646FA" w:rsidR="003903E4" w:rsidRDefault="003903E4" w:rsidP="003903E4">
      <w:r>
        <w:t xml:space="preserve">What are two </w:t>
      </w:r>
      <w:r w:rsidRPr="002D1D6B">
        <w:rPr>
          <w:b/>
          <w:bCs/>
        </w:rPr>
        <w:t>pieces of content</w:t>
      </w:r>
      <w:r>
        <w:rPr>
          <w:b/>
          <w:bCs/>
        </w:rPr>
        <w:t xml:space="preserve"> </w:t>
      </w:r>
      <w:r>
        <w:t>that you want students to know and understand by the end of this course?</w:t>
      </w:r>
    </w:p>
    <w:p w14:paraId="40D10AF6" w14:textId="6E14AFA3" w:rsidR="003903E4" w:rsidRDefault="003903E4" w:rsidP="003903E4">
      <w:r>
        <w:tab/>
        <w:t>1.</w:t>
      </w:r>
    </w:p>
    <w:p w14:paraId="2E9E5A42" w14:textId="77777777" w:rsidR="003903E4" w:rsidRDefault="003903E4" w:rsidP="003903E4">
      <w:r>
        <w:tab/>
        <w:t>2.</w:t>
      </w:r>
    </w:p>
    <w:p w14:paraId="0BF9561E" w14:textId="77777777" w:rsidR="003903E4" w:rsidRDefault="003903E4" w:rsidP="003903E4"/>
    <w:p w14:paraId="25D1C47A" w14:textId="1202C21A" w:rsidR="003903E4" w:rsidRDefault="003903E4" w:rsidP="003903E4">
      <w:r>
        <w:t xml:space="preserve">What are two ways that </w:t>
      </w:r>
      <w:r w:rsidRPr="00283473">
        <w:rPr>
          <w:b/>
          <w:bCs/>
        </w:rPr>
        <w:t>students can take charge</w:t>
      </w:r>
      <w:r>
        <w:t xml:space="preserve"> of their own learning and success in this course?</w:t>
      </w:r>
    </w:p>
    <w:p w14:paraId="5C1ADF80" w14:textId="1DC19ADC" w:rsidR="003903E4" w:rsidRDefault="003903E4" w:rsidP="003903E4">
      <w:r>
        <w:tab/>
        <w:t>1.</w:t>
      </w:r>
    </w:p>
    <w:p w14:paraId="0DFD2485" w14:textId="77777777" w:rsidR="003903E4" w:rsidRDefault="003903E4" w:rsidP="003903E4">
      <w:r>
        <w:tab/>
        <w:t>2.</w:t>
      </w:r>
    </w:p>
    <w:p w14:paraId="436EAED3" w14:textId="77777777" w:rsidR="003903E4" w:rsidRDefault="003903E4" w:rsidP="003903E4"/>
    <w:p w14:paraId="0DD8B06F" w14:textId="271EEC5E" w:rsidR="003903E4" w:rsidRDefault="003903E4" w:rsidP="003903E4">
      <w:r>
        <w:t xml:space="preserve">What are two </w:t>
      </w:r>
      <w:r w:rsidRPr="008A1A64">
        <w:rPr>
          <w:b/>
          <w:bCs/>
        </w:rPr>
        <w:t>campus resources</w:t>
      </w:r>
      <w:r>
        <w:rPr>
          <w:b/>
          <w:bCs/>
        </w:rPr>
        <w:t xml:space="preserve"> </w:t>
      </w:r>
      <w:r>
        <w:t>that will help your learners succeed in this course?</w:t>
      </w:r>
    </w:p>
    <w:p w14:paraId="774D291C" w14:textId="77FE6433" w:rsidR="003903E4" w:rsidRDefault="003903E4" w:rsidP="003903E4">
      <w:r>
        <w:tab/>
        <w:t>1.</w:t>
      </w:r>
    </w:p>
    <w:p w14:paraId="662F07A3" w14:textId="77777777" w:rsidR="003903E4" w:rsidRDefault="003903E4" w:rsidP="003903E4">
      <w:r>
        <w:tab/>
        <w:t>2.</w:t>
      </w:r>
    </w:p>
    <w:p w14:paraId="3544EAC8" w14:textId="77777777" w:rsidR="003903E4" w:rsidRDefault="003903E4" w:rsidP="003903E4"/>
    <w:p w14:paraId="1D284FCA" w14:textId="57EEA927" w:rsidR="003903E4" w:rsidRDefault="003903E4" w:rsidP="003903E4">
      <w:r>
        <w:t xml:space="preserve">What are two </w:t>
      </w:r>
      <w:r w:rsidRPr="0020751A">
        <w:rPr>
          <w:b/>
          <w:bCs/>
        </w:rPr>
        <w:t>technology tools or processes</w:t>
      </w:r>
      <w:r>
        <w:t xml:space="preserve"> that will support your teaching?</w:t>
      </w:r>
    </w:p>
    <w:p w14:paraId="721D0DE5" w14:textId="59DB9644" w:rsidR="003903E4" w:rsidRDefault="003903E4" w:rsidP="003903E4">
      <w:r>
        <w:tab/>
        <w:t>1.</w:t>
      </w:r>
    </w:p>
    <w:p w14:paraId="5FAAF317" w14:textId="77777777" w:rsidR="003903E4" w:rsidRPr="008A1A64" w:rsidRDefault="003903E4" w:rsidP="003903E4">
      <w:r>
        <w:tab/>
        <w:t>2.</w:t>
      </w:r>
    </w:p>
    <w:p w14:paraId="7CD64F16" w14:textId="77777777" w:rsidR="00BB659F" w:rsidRPr="00483F0A" w:rsidRDefault="00BB659F" w:rsidP="00BB659F">
      <w:pPr>
        <w:ind w:left="1440" w:hanging="1440"/>
      </w:pPr>
    </w:p>
    <w:p w14:paraId="42CB8AAA" w14:textId="5A120E61" w:rsidR="00C2519F" w:rsidRPr="00C9443A" w:rsidRDefault="00C2519F" w:rsidP="00757EB6">
      <w:pPr>
        <w:rPr>
          <w:sz w:val="36"/>
          <w:szCs w:val="36"/>
        </w:rPr>
      </w:pPr>
    </w:p>
    <w:sectPr w:rsidR="00C2519F" w:rsidRPr="00C9443A" w:rsidSect="00F6619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E0636" w14:textId="77777777" w:rsidR="009130B4" w:rsidRDefault="009130B4" w:rsidP="00352D95">
      <w:r>
        <w:separator/>
      </w:r>
    </w:p>
  </w:endnote>
  <w:endnote w:type="continuationSeparator" w:id="0">
    <w:p w14:paraId="5FC3D23D" w14:textId="77777777" w:rsidR="009130B4" w:rsidRDefault="009130B4" w:rsidP="00352D95">
      <w:r>
        <w:continuationSeparator/>
      </w:r>
    </w:p>
  </w:endnote>
  <w:endnote w:type="continuationNotice" w:id="1">
    <w:p w14:paraId="7AA55C3F" w14:textId="77777777" w:rsidR="00C64762" w:rsidRDefault="00C647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762FE" w14:textId="77777777" w:rsidR="00D248C8" w:rsidRDefault="00D248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61D3A" w14:textId="147B7744" w:rsidR="00C2519F" w:rsidRPr="007A6C3F" w:rsidRDefault="007A6C3F" w:rsidP="00C35FFF">
    <w:pPr>
      <w:ind w:left="2160" w:firstLine="720"/>
      <w:rPr>
        <w:rFonts w:ascii="Times New Roman" w:eastAsia="Times New Roman" w:hAnsi="Times New Roman" w:cs="Times New Roman"/>
      </w:rPr>
    </w:pPr>
    <w:r w:rsidRPr="007A6C3F">
      <w:rPr>
        <w:rFonts w:ascii="Times New Roman" w:eastAsia="Times New Roman" w:hAnsi="Times New Roman" w:cs="Times New Roman"/>
        <w:noProof/>
        <w:color w:val="0000FF"/>
      </w:rPr>
      <w:drawing>
        <wp:anchor distT="0" distB="0" distL="114300" distR="114300" simplePos="0" relativeHeight="251658240" behindDoc="0" locked="0" layoutInCell="1" allowOverlap="1" wp14:anchorId="67D793B7" wp14:editId="442139C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17600" cy="394970"/>
          <wp:effectExtent l="0" t="0" r="0" b="0"/>
          <wp:wrapNone/>
          <wp:docPr id="3" name="Picture 3" descr="Creative Commons Licens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cens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519F">
      <w:t xml:space="preserve">This work is licensed under a Creative Commons </w:t>
    </w:r>
  </w:p>
  <w:p w14:paraId="7BB5CB21" w14:textId="62FD3ECA" w:rsidR="00C2519F" w:rsidRDefault="00C9443A" w:rsidP="00461BB5">
    <w:pPr>
      <w:pStyle w:val="Footer"/>
      <w:jc w:val="right"/>
    </w:pPr>
    <w:hyperlink r:id="rId3" w:history="1">
      <w:r w:rsidR="00C2519F" w:rsidRPr="00461BB5">
        <w:rPr>
          <w:rStyle w:val="Hyperlink"/>
        </w:rPr>
        <w:t>Attribution-Non-Commercial-</w:t>
      </w:r>
      <w:proofErr w:type="spellStart"/>
      <w:r w:rsidR="00C2519F" w:rsidRPr="00461BB5">
        <w:rPr>
          <w:rStyle w:val="Hyperlink"/>
        </w:rPr>
        <w:t>ShareAlike</w:t>
      </w:r>
      <w:proofErr w:type="spellEnd"/>
      <w:r w:rsidR="00C2519F" w:rsidRPr="00461BB5">
        <w:rPr>
          <w:rStyle w:val="Hyperlink"/>
        </w:rPr>
        <w:t xml:space="preserve"> 4.0 International License</w:t>
      </w:r>
    </w:hyperlink>
    <w:r w:rsidR="00C2519F"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99CD2" w14:textId="77777777" w:rsidR="00595378" w:rsidRPr="007A6C3F" w:rsidRDefault="00595378" w:rsidP="00595378">
    <w:pPr>
      <w:ind w:left="2160" w:firstLine="720"/>
      <w:rPr>
        <w:rFonts w:ascii="Times New Roman" w:eastAsia="Times New Roman" w:hAnsi="Times New Roman" w:cs="Times New Roman"/>
      </w:rPr>
    </w:pPr>
    <w:r w:rsidRPr="007A6C3F">
      <w:rPr>
        <w:rFonts w:ascii="Times New Roman" w:eastAsia="Times New Roman" w:hAnsi="Times New Roman" w:cs="Times New Roman"/>
        <w:noProof/>
        <w:color w:val="0000FF"/>
      </w:rPr>
      <w:drawing>
        <wp:anchor distT="0" distB="0" distL="114300" distR="114300" simplePos="0" relativeHeight="251658241" behindDoc="0" locked="0" layoutInCell="1" allowOverlap="1" wp14:anchorId="0FF63E8B" wp14:editId="74CA046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17600" cy="394970"/>
          <wp:effectExtent l="0" t="0" r="0" b="0"/>
          <wp:wrapNone/>
          <wp:docPr id="4" name="Picture 4" descr="Creative Commons Licens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cens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This work is licensed under a Creative Commons </w:t>
    </w:r>
  </w:p>
  <w:p w14:paraId="4D820492" w14:textId="77777777" w:rsidR="00595378" w:rsidRDefault="00C9443A" w:rsidP="00595378">
    <w:pPr>
      <w:pStyle w:val="Footer"/>
      <w:jc w:val="right"/>
    </w:pPr>
    <w:hyperlink r:id="rId3" w:history="1">
      <w:r w:rsidR="00595378" w:rsidRPr="00461BB5">
        <w:rPr>
          <w:rStyle w:val="Hyperlink"/>
        </w:rPr>
        <w:t>Attribution-Non-Commercial-</w:t>
      </w:r>
      <w:proofErr w:type="spellStart"/>
      <w:r w:rsidR="00595378" w:rsidRPr="00461BB5">
        <w:rPr>
          <w:rStyle w:val="Hyperlink"/>
        </w:rPr>
        <w:t>ShareAlike</w:t>
      </w:r>
      <w:proofErr w:type="spellEnd"/>
      <w:r w:rsidR="00595378" w:rsidRPr="00461BB5">
        <w:rPr>
          <w:rStyle w:val="Hyperlink"/>
        </w:rPr>
        <w:t xml:space="preserve"> 4.0 International License</w:t>
      </w:r>
    </w:hyperlink>
    <w:r w:rsidR="00595378">
      <w:t>.</w:t>
    </w:r>
  </w:p>
  <w:p w14:paraId="2EF6CF40" w14:textId="77777777" w:rsidR="00595378" w:rsidRDefault="00595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8863A" w14:textId="77777777" w:rsidR="009130B4" w:rsidRDefault="009130B4" w:rsidP="00352D95">
      <w:r>
        <w:separator/>
      </w:r>
    </w:p>
  </w:footnote>
  <w:footnote w:type="continuationSeparator" w:id="0">
    <w:p w14:paraId="16813AA8" w14:textId="77777777" w:rsidR="009130B4" w:rsidRDefault="009130B4" w:rsidP="00352D95">
      <w:r>
        <w:continuationSeparator/>
      </w:r>
    </w:p>
  </w:footnote>
  <w:footnote w:type="continuationNotice" w:id="1">
    <w:p w14:paraId="0AAC45E4" w14:textId="77777777" w:rsidR="00C64762" w:rsidRDefault="00C647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43DE2" w14:textId="77777777" w:rsidR="00D248C8" w:rsidRDefault="00D248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BC1DC" w14:textId="0E94C80D" w:rsidR="00F66192" w:rsidRPr="00C64762" w:rsidRDefault="00C16126">
    <w:pPr>
      <w:pStyle w:val="Header"/>
    </w:pPr>
    <w:r>
      <w:rPr>
        <w:b/>
        <w:bCs/>
      </w:rPr>
      <w:t>Transforming Teaching 101</w:t>
    </w:r>
    <w:r w:rsidR="00C64762">
      <w:rPr>
        <w:b/>
        <w:bCs/>
      </w:rPr>
      <w:tab/>
    </w:r>
    <w:r w:rsidR="00C64762">
      <w:rPr>
        <w:b/>
        <w:bCs/>
      </w:rPr>
      <w:tab/>
    </w:r>
    <w:r w:rsidR="00C64762">
      <w:t xml:space="preserve">Lauren Anstey, Robin Attas, Lindsay Brant </w:t>
    </w:r>
  </w:p>
  <w:p w14:paraId="1D861119" w14:textId="63F17FB5" w:rsidR="00F66192" w:rsidRDefault="00C64762">
    <w:pPr>
      <w:pStyle w:val="Header"/>
    </w:pPr>
    <w:r w:rsidRPr="00C64762">
      <w:rPr>
        <w:b/>
        <w:bCs/>
      </w:rPr>
      <w:t>Queen’s University</w:t>
    </w:r>
    <w:r>
      <w:tab/>
    </w:r>
    <w:r>
      <w:tab/>
    </w:r>
    <w:r w:rsidR="00F66192">
      <w:t>Centre for Teaching and Learning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20DA7" w14:textId="77777777" w:rsidR="00D248C8" w:rsidRDefault="00D248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421FE"/>
    <w:multiLevelType w:val="hybridMultilevel"/>
    <w:tmpl w:val="D90E6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60EA"/>
    <w:multiLevelType w:val="hybridMultilevel"/>
    <w:tmpl w:val="5A8AD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A42C3"/>
    <w:multiLevelType w:val="hybridMultilevel"/>
    <w:tmpl w:val="E020C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11257"/>
    <w:multiLevelType w:val="hybridMultilevel"/>
    <w:tmpl w:val="B39AA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35557"/>
    <w:multiLevelType w:val="hybridMultilevel"/>
    <w:tmpl w:val="6882D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9309E"/>
    <w:multiLevelType w:val="hybridMultilevel"/>
    <w:tmpl w:val="B3E60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E2D73"/>
    <w:multiLevelType w:val="hybridMultilevel"/>
    <w:tmpl w:val="9506B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B65D2"/>
    <w:multiLevelType w:val="hybridMultilevel"/>
    <w:tmpl w:val="FB882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951D5"/>
    <w:multiLevelType w:val="hybridMultilevel"/>
    <w:tmpl w:val="4F0E3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05818"/>
    <w:multiLevelType w:val="hybridMultilevel"/>
    <w:tmpl w:val="BC441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50639"/>
    <w:multiLevelType w:val="hybridMultilevel"/>
    <w:tmpl w:val="C4D4A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E57C1"/>
    <w:multiLevelType w:val="hybridMultilevel"/>
    <w:tmpl w:val="B77C9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70E9D"/>
    <w:multiLevelType w:val="hybridMultilevel"/>
    <w:tmpl w:val="8E3AB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96574"/>
    <w:multiLevelType w:val="hybridMultilevel"/>
    <w:tmpl w:val="D1C2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73960"/>
    <w:multiLevelType w:val="hybridMultilevel"/>
    <w:tmpl w:val="961AF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20781"/>
    <w:multiLevelType w:val="hybridMultilevel"/>
    <w:tmpl w:val="28BAE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C1139"/>
    <w:multiLevelType w:val="hybridMultilevel"/>
    <w:tmpl w:val="CD468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D140C"/>
    <w:multiLevelType w:val="hybridMultilevel"/>
    <w:tmpl w:val="A934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31DC4"/>
    <w:multiLevelType w:val="hybridMultilevel"/>
    <w:tmpl w:val="442A885E"/>
    <w:lvl w:ilvl="0" w:tplc="0409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16"/>
  </w:num>
  <w:num w:numId="5">
    <w:abstractNumId w:val="2"/>
  </w:num>
  <w:num w:numId="6">
    <w:abstractNumId w:val="18"/>
  </w:num>
  <w:num w:numId="7">
    <w:abstractNumId w:val="3"/>
  </w:num>
  <w:num w:numId="8">
    <w:abstractNumId w:val="0"/>
  </w:num>
  <w:num w:numId="9">
    <w:abstractNumId w:val="17"/>
  </w:num>
  <w:num w:numId="10">
    <w:abstractNumId w:val="5"/>
  </w:num>
  <w:num w:numId="11">
    <w:abstractNumId w:val="13"/>
  </w:num>
  <w:num w:numId="12">
    <w:abstractNumId w:val="6"/>
  </w:num>
  <w:num w:numId="13">
    <w:abstractNumId w:val="14"/>
  </w:num>
  <w:num w:numId="14">
    <w:abstractNumId w:val="8"/>
  </w:num>
  <w:num w:numId="15">
    <w:abstractNumId w:val="15"/>
  </w:num>
  <w:num w:numId="16">
    <w:abstractNumId w:val="12"/>
  </w:num>
  <w:num w:numId="17">
    <w:abstractNumId w:val="7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6F"/>
    <w:rsid w:val="00023342"/>
    <w:rsid w:val="00077F6F"/>
    <w:rsid w:val="000918DA"/>
    <w:rsid w:val="000B48F3"/>
    <w:rsid w:val="0010390D"/>
    <w:rsid w:val="00120768"/>
    <w:rsid w:val="001349AD"/>
    <w:rsid w:val="001837B0"/>
    <w:rsid w:val="00192772"/>
    <w:rsid w:val="001A2056"/>
    <w:rsid w:val="001A212E"/>
    <w:rsid w:val="001C2279"/>
    <w:rsid w:val="001C72D0"/>
    <w:rsid w:val="001D7BBC"/>
    <w:rsid w:val="0023798B"/>
    <w:rsid w:val="00241C7D"/>
    <w:rsid w:val="00263914"/>
    <w:rsid w:val="00266359"/>
    <w:rsid w:val="002B2A05"/>
    <w:rsid w:val="002C1AE4"/>
    <w:rsid w:val="00334F0C"/>
    <w:rsid w:val="00352D95"/>
    <w:rsid w:val="00364D99"/>
    <w:rsid w:val="003711D8"/>
    <w:rsid w:val="003779B2"/>
    <w:rsid w:val="00387AA5"/>
    <w:rsid w:val="003903E4"/>
    <w:rsid w:val="003C6BCB"/>
    <w:rsid w:val="00421E55"/>
    <w:rsid w:val="00422DAC"/>
    <w:rsid w:val="00430F2B"/>
    <w:rsid w:val="00455DD4"/>
    <w:rsid w:val="00456308"/>
    <w:rsid w:val="00461BB5"/>
    <w:rsid w:val="00483F0A"/>
    <w:rsid w:val="004B317E"/>
    <w:rsid w:val="005241C4"/>
    <w:rsid w:val="005555B0"/>
    <w:rsid w:val="00593045"/>
    <w:rsid w:val="00595378"/>
    <w:rsid w:val="005A0944"/>
    <w:rsid w:val="005A1E02"/>
    <w:rsid w:val="005B064C"/>
    <w:rsid w:val="005B24A3"/>
    <w:rsid w:val="005C4429"/>
    <w:rsid w:val="005D70DC"/>
    <w:rsid w:val="005F0A2F"/>
    <w:rsid w:val="006021A8"/>
    <w:rsid w:val="006216F4"/>
    <w:rsid w:val="0063070F"/>
    <w:rsid w:val="00664463"/>
    <w:rsid w:val="00676534"/>
    <w:rsid w:val="00686F5E"/>
    <w:rsid w:val="006D41A2"/>
    <w:rsid w:val="0071263E"/>
    <w:rsid w:val="00723438"/>
    <w:rsid w:val="00725B81"/>
    <w:rsid w:val="00757EB6"/>
    <w:rsid w:val="00766848"/>
    <w:rsid w:val="00773884"/>
    <w:rsid w:val="007845A6"/>
    <w:rsid w:val="007A6C3F"/>
    <w:rsid w:val="007C79B5"/>
    <w:rsid w:val="007E0996"/>
    <w:rsid w:val="00872C54"/>
    <w:rsid w:val="00884659"/>
    <w:rsid w:val="00892496"/>
    <w:rsid w:val="008B6A8C"/>
    <w:rsid w:val="008B6E9A"/>
    <w:rsid w:val="008D724E"/>
    <w:rsid w:val="008E022D"/>
    <w:rsid w:val="009130B4"/>
    <w:rsid w:val="00934C60"/>
    <w:rsid w:val="009373FE"/>
    <w:rsid w:val="00986C9E"/>
    <w:rsid w:val="009B3563"/>
    <w:rsid w:val="009C74B3"/>
    <w:rsid w:val="00A216D2"/>
    <w:rsid w:val="00A42F7A"/>
    <w:rsid w:val="00A4673B"/>
    <w:rsid w:val="00A6129E"/>
    <w:rsid w:val="00AE4B39"/>
    <w:rsid w:val="00AF30D7"/>
    <w:rsid w:val="00B323DA"/>
    <w:rsid w:val="00B37C6F"/>
    <w:rsid w:val="00B436C7"/>
    <w:rsid w:val="00B5288C"/>
    <w:rsid w:val="00B52CFD"/>
    <w:rsid w:val="00B601B2"/>
    <w:rsid w:val="00B82FF1"/>
    <w:rsid w:val="00BB659F"/>
    <w:rsid w:val="00BC5B01"/>
    <w:rsid w:val="00BC7D87"/>
    <w:rsid w:val="00BE6052"/>
    <w:rsid w:val="00C16126"/>
    <w:rsid w:val="00C2519F"/>
    <w:rsid w:val="00C35FFF"/>
    <w:rsid w:val="00C60E7E"/>
    <w:rsid w:val="00C64762"/>
    <w:rsid w:val="00C9443A"/>
    <w:rsid w:val="00CA2705"/>
    <w:rsid w:val="00CA3A11"/>
    <w:rsid w:val="00CF48E8"/>
    <w:rsid w:val="00D01F82"/>
    <w:rsid w:val="00D10CA7"/>
    <w:rsid w:val="00D1216B"/>
    <w:rsid w:val="00D238B6"/>
    <w:rsid w:val="00D248C8"/>
    <w:rsid w:val="00D31934"/>
    <w:rsid w:val="00D34B0F"/>
    <w:rsid w:val="00D9099A"/>
    <w:rsid w:val="00D96222"/>
    <w:rsid w:val="00DE2248"/>
    <w:rsid w:val="00DF7644"/>
    <w:rsid w:val="00E3008E"/>
    <w:rsid w:val="00E83167"/>
    <w:rsid w:val="00E9486D"/>
    <w:rsid w:val="00ED20F0"/>
    <w:rsid w:val="00EE10E1"/>
    <w:rsid w:val="00EE4C89"/>
    <w:rsid w:val="00EE72E8"/>
    <w:rsid w:val="00F26498"/>
    <w:rsid w:val="00F53985"/>
    <w:rsid w:val="00F61011"/>
    <w:rsid w:val="00F66192"/>
    <w:rsid w:val="00F73FAF"/>
    <w:rsid w:val="00F75DC1"/>
    <w:rsid w:val="00FC5DA8"/>
    <w:rsid w:val="00FE27F5"/>
    <w:rsid w:val="00FE2FB8"/>
    <w:rsid w:val="00FE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DCDCA1"/>
  <w15:chartTrackingRefBased/>
  <w15:docId w15:val="{732785FA-7A14-4B17-93FF-9175B66E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16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16B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41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1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1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1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1C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319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19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9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52D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D95"/>
  </w:style>
  <w:style w:type="paragraph" w:styleId="Footer">
    <w:name w:val="footer"/>
    <w:basedOn w:val="Normal"/>
    <w:link w:val="FooterChar"/>
    <w:uiPriority w:val="99"/>
    <w:unhideWhenUsed/>
    <w:rsid w:val="00352D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D95"/>
  </w:style>
  <w:style w:type="character" w:styleId="FollowedHyperlink">
    <w:name w:val="FollowedHyperlink"/>
    <w:basedOn w:val="DefaultParagraphFont"/>
    <w:uiPriority w:val="99"/>
    <w:semiHidden/>
    <w:unhideWhenUsed/>
    <w:rsid w:val="007A6C3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E0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2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olab.plymouthcreate.net/covid19/rule-of-2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sa/4.0/" TargetMode="External"/><Relationship Id="rId2" Type="http://schemas.openxmlformats.org/officeDocument/2006/relationships/image" Target="media/image3.png"/><Relationship Id="rId1" Type="http://schemas.openxmlformats.org/officeDocument/2006/relationships/hyperlink" Target="http://creativecommons.org/licenses/by-nc-sa/4.0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sa/4.0/" TargetMode="External"/><Relationship Id="rId2" Type="http://schemas.openxmlformats.org/officeDocument/2006/relationships/image" Target="media/image3.png"/><Relationship Id="rId1" Type="http://schemas.openxmlformats.org/officeDocument/2006/relationships/hyperlink" Target="http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9216EA9963341A98E8CB37AFF64C3" ma:contentTypeVersion="9" ma:contentTypeDescription="Create a new document." ma:contentTypeScope="" ma:versionID="8691f3aefd01994f3008da935743e154">
  <xsd:schema xmlns:xsd="http://www.w3.org/2001/XMLSchema" xmlns:xs="http://www.w3.org/2001/XMLSchema" xmlns:p="http://schemas.microsoft.com/office/2006/metadata/properties" xmlns:ns2="ebfaaa72-cea9-44a0-a495-63e7fa8c9ac3" targetNamespace="http://schemas.microsoft.com/office/2006/metadata/properties" ma:root="true" ma:fieldsID="332c1478ef640a5c7ce1954abfebd129" ns2:_="">
    <xsd:import namespace="ebfaaa72-cea9-44a0-a495-63e7fa8c9a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aaa72-cea9-44a0-a495-63e7fa8c9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5DBE80-F0F9-4CAC-A821-5F2D5EF550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031104-81BF-4169-8E7F-F55A25D1E8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D70DF-D5CB-4731-A7EF-1536A432D7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Links>
    <vt:vector size="18" baseType="variant">
      <vt:variant>
        <vt:i4>7209059</vt:i4>
      </vt:variant>
      <vt:variant>
        <vt:i4>0</vt:i4>
      </vt:variant>
      <vt:variant>
        <vt:i4>0</vt:i4>
      </vt:variant>
      <vt:variant>
        <vt:i4>5</vt:i4>
      </vt:variant>
      <vt:variant>
        <vt:lpwstr>https://colab.plymouthcreate.net/covid19/rule-of-2/</vt:lpwstr>
      </vt:variant>
      <vt:variant>
        <vt:lpwstr/>
      </vt:variant>
      <vt:variant>
        <vt:i4>4259931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http://creativecommons.org/licenses/by-nc-sa/4.0/</vt:lpwstr>
      </vt:variant>
      <vt:variant>
        <vt:lpwstr/>
      </vt:variant>
      <vt:variant>
        <vt:i4>4259931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http://creativecommons.org/licenses/by-nc-sa/4.0/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Attas</dc:creator>
  <cp:keywords/>
  <dc:description/>
  <cp:lastModifiedBy>Robin Attas</cp:lastModifiedBy>
  <cp:revision>64</cp:revision>
  <dcterms:created xsi:type="dcterms:W3CDTF">2020-05-14T21:15:00Z</dcterms:created>
  <dcterms:modified xsi:type="dcterms:W3CDTF">2021-04-21T14:12:00Z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0x010100A569216EA9963341A98E8CB37AFF64C3</vt:lpwstr>
  </property>
</Properties>
</file>