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0C7E0" w14:textId="0C390563" w:rsidR="00E13189" w:rsidRDefault="00E13189" w:rsidP="003605A1">
      <w:pPr>
        <w:spacing w:before="65" w:after="65" w:line="240" w:lineRule="auto"/>
        <w:rPr>
          <w:rFonts w:ascii="Arial" w:eastAsia="Times New Roman" w:hAnsi="Arial" w:cs="Arial"/>
          <w:b/>
          <w:bCs/>
          <w:color w:val="333333"/>
        </w:rPr>
      </w:pPr>
      <w:r>
        <w:rPr>
          <w:rFonts w:ascii="Arial" w:eastAsia="Times New Roman" w:hAnsi="Arial" w:cs="Arial"/>
          <w:b/>
          <w:bCs/>
          <w:color w:val="333333"/>
        </w:rPr>
        <w:t xml:space="preserve">Capitalization </w:t>
      </w:r>
      <w:r w:rsidR="0000446F">
        <w:rPr>
          <w:rFonts w:ascii="Arial" w:eastAsia="Times New Roman" w:hAnsi="Arial" w:cs="Arial"/>
          <w:b/>
          <w:bCs/>
          <w:color w:val="333333"/>
        </w:rPr>
        <w:t>Procedure</w:t>
      </w:r>
    </w:p>
    <w:p w14:paraId="6C40C127" w14:textId="77777777" w:rsidR="00E13189" w:rsidRDefault="00E13189" w:rsidP="003605A1">
      <w:pPr>
        <w:spacing w:before="65" w:after="65" w:line="240" w:lineRule="auto"/>
        <w:rPr>
          <w:rFonts w:ascii="Arial" w:eastAsia="Times New Roman" w:hAnsi="Arial" w:cs="Arial"/>
          <w:b/>
          <w:bCs/>
          <w:color w:val="333333"/>
        </w:rPr>
      </w:pPr>
    </w:p>
    <w:p w14:paraId="0B3EDAC6" w14:textId="77777777" w:rsidR="003605A1" w:rsidRPr="003605A1" w:rsidRDefault="003605A1" w:rsidP="003605A1">
      <w:pPr>
        <w:spacing w:before="65" w:after="65" w:line="240" w:lineRule="auto"/>
        <w:rPr>
          <w:rFonts w:ascii="Arial" w:eastAsia="Times New Roman" w:hAnsi="Arial" w:cs="Arial"/>
          <w:bCs/>
          <w:color w:val="333333"/>
        </w:rPr>
      </w:pPr>
      <w:r w:rsidRPr="003605A1">
        <w:rPr>
          <w:rFonts w:ascii="Arial" w:eastAsia="Times New Roman" w:hAnsi="Arial" w:cs="Arial"/>
          <w:bCs/>
          <w:color w:val="333333"/>
        </w:rPr>
        <w:t>Queen’s university capitalizes tangible and intangible capital assets.</w:t>
      </w:r>
    </w:p>
    <w:p w14:paraId="055B9D19" w14:textId="77777777" w:rsidR="003605A1" w:rsidRDefault="003605A1" w:rsidP="003605A1">
      <w:pPr>
        <w:spacing w:before="65" w:after="65" w:line="240" w:lineRule="auto"/>
        <w:rPr>
          <w:rFonts w:ascii="Arial" w:eastAsia="Times New Roman" w:hAnsi="Arial" w:cs="Arial"/>
          <w:b/>
          <w:bCs/>
          <w:color w:val="333333"/>
        </w:rPr>
      </w:pPr>
    </w:p>
    <w:p w14:paraId="26A68048" w14:textId="77777777" w:rsidR="003605A1" w:rsidRPr="003605A1" w:rsidRDefault="003605A1" w:rsidP="003605A1">
      <w:pPr>
        <w:spacing w:before="65" w:after="65" w:line="240" w:lineRule="auto"/>
        <w:rPr>
          <w:rFonts w:ascii="Arial" w:eastAsia="Times New Roman" w:hAnsi="Arial" w:cs="Arial"/>
          <w:color w:val="333333"/>
        </w:rPr>
      </w:pPr>
      <w:r w:rsidRPr="0034582B">
        <w:rPr>
          <w:rFonts w:ascii="Arial" w:eastAsia="Times New Roman" w:hAnsi="Arial" w:cs="Arial"/>
          <w:color w:val="333333"/>
        </w:rPr>
        <w:t>Capital assets</w:t>
      </w:r>
      <w:r>
        <w:rPr>
          <w:rFonts w:ascii="Arial" w:eastAsia="Times New Roman" w:hAnsi="Arial" w:cs="Arial"/>
          <w:color w:val="333333"/>
        </w:rPr>
        <w:t xml:space="preserve"> are t</w:t>
      </w:r>
      <w:r w:rsidRPr="0034582B">
        <w:rPr>
          <w:rFonts w:ascii="Arial" w:eastAsia="Times New Roman" w:hAnsi="Arial" w:cs="Arial"/>
          <w:color w:val="333333"/>
        </w:rPr>
        <w:t>angible properties, such as land, buildings and equipment</w:t>
      </w:r>
      <w:r>
        <w:rPr>
          <w:rFonts w:ascii="Arial" w:eastAsia="Times New Roman" w:hAnsi="Arial" w:cs="Arial"/>
          <w:color w:val="333333"/>
        </w:rPr>
        <w:t xml:space="preserve"> as well as</w:t>
      </w:r>
      <w:r w:rsidRPr="0034582B">
        <w:rPr>
          <w:rFonts w:ascii="Arial" w:eastAsia="Times New Roman" w:hAnsi="Arial" w:cs="Arial"/>
          <w:color w:val="333333"/>
        </w:rPr>
        <w:t xml:space="preserve"> intangible properties that meet </w:t>
      </w:r>
      <w:proofErr w:type="gramStart"/>
      <w:r w:rsidRPr="0034582B">
        <w:rPr>
          <w:rFonts w:ascii="Arial" w:eastAsia="Times New Roman" w:hAnsi="Arial" w:cs="Arial"/>
          <w:color w:val="333333"/>
        </w:rPr>
        <w:t>all of</w:t>
      </w:r>
      <w:proofErr w:type="gramEnd"/>
      <w:r w:rsidRPr="0034582B">
        <w:rPr>
          <w:rFonts w:ascii="Arial" w:eastAsia="Times New Roman" w:hAnsi="Arial" w:cs="Arial"/>
          <w:color w:val="333333"/>
        </w:rPr>
        <w:t xml:space="preserve"> the following criteria:</w:t>
      </w:r>
    </w:p>
    <w:p w14:paraId="5C940679" w14:textId="77777777" w:rsidR="003605A1" w:rsidRPr="003605A1" w:rsidRDefault="003605A1" w:rsidP="003605A1">
      <w:pPr>
        <w:pStyle w:val="ListParagraph"/>
        <w:numPr>
          <w:ilvl w:val="0"/>
          <w:numId w:val="2"/>
        </w:numPr>
        <w:spacing w:before="65" w:after="65" w:line="240" w:lineRule="auto"/>
        <w:rPr>
          <w:rFonts w:ascii="Arial" w:eastAsia="Times New Roman" w:hAnsi="Arial" w:cs="Arial"/>
          <w:color w:val="333333"/>
        </w:rPr>
      </w:pPr>
      <w:r w:rsidRPr="003605A1">
        <w:rPr>
          <w:rFonts w:ascii="Arial" w:eastAsia="Times New Roman" w:hAnsi="Arial" w:cs="Arial"/>
          <w:color w:val="333333"/>
        </w:rPr>
        <w:t xml:space="preserve">are held for use in the provision of services, for administrative purposes, for production of goods or for the maintenance, repair, development or construction of other tangible capital </w:t>
      </w:r>
      <w:proofErr w:type="gramStart"/>
      <w:r w:rsidRPr="003605A1">
        <w:rPr>
          <w:rFonts w:ascii="Arial" w:eastAsia="Times New Roman" w:hAnsi="Arial" w:cs="Arial"/>
          <w:color w:val="333333"/>
        </w:rPr>
        <w:t>assets;</w:t>
      </w:r>
      <w:proofErr w:type="gramEnd"/>
    </w:p>
    <w:p w14:paraId="35C93244" w14:textId="77777777" w:rsidR="003605A1" w:rsidRPr="003605A1" w:rsidRDefault="003605A1" w:rsidP="003605A1">
      <w:pPr>
        <w:pStyle w:val="ListParagraph"/>
        <w:numPr>
          <w:ilvl w:val="0"/>
          <w:numId w:val="2"/>
        </w:numPr>
        <w:spacing w:before="65" w:after="65" w:line="240" w:lineRule="auto"/>
        <w:rPr>
          <w:rFonts w:ascii="Arial" w:eastAsia="Times New Roman" w:hAnsi="Arial" w:cs="Arial"/>
          <w:color w:val="333333"/>
        </w:rPr>
      </w:pPr>
      <w:r w:rsidRPr="003605A1">
        <w:rPr>
          <w:rFonts w:ascii="Arial" w:eastAsia="Times New Roman" w:hAnsi="Arial" w:cs="Arial"/>
          <w:color w:val="333333"/>
        </w:rPr>
        <w:t xml:space="preserve">have been acquired, constructed or developed with the intention of being used on a continuing </w:t>
      </w:r>
      <w:proofErr w:type="gramStart"/>
      <w:r w:rsidRPr="003605A1">
        <w:rPr>
          <w:rFonts w:ascii="Arial" w:eastAsia="Times New Roman" w:hAnsi="Arial" w:cs="Arial"/>
          <w:color w:val="333333"/>
        </w:rPr>
        <w:t>basis;</w:t>
      </w:r>
      <w:proofErr w:type="gramEnd"/>
    </w:p>
    <w:p w14:paraId="029A1A2C" w14:textId="77777777" w:rsidR="003605A1" w:rsidRPr="003605A1" w:rsidRDefault="003605A1" w:rsidP="003605A1">
      <w:pPr>
        <w:pStyle w:val="ListParagraph"/>
        <w:numPr>
          <w:ilvl w:val="0"/>
          <w:numId w:val="2"/>
        </w:numPr>
        <w:spacing w:before="65" w:after="65" w:line="240" w:lineRule="auto"/>
        <w:rPr>
          <w:rFonts w:ascii="Arial" w:eastAsia="Times New Roman" w:hAnsi="Arial" w:cs="Arial"/>
          <w:color w:val="333333"/>
        </w:rPr>
      </w:pPr>
      <w:r w:rsidRPr="003605A1">
        <w:rPr>
          <w:rFonts w:ascii="Arial" w:eastAsia="Times New Roman" w:hAnsi="Arial" w:cs="Arial"/>
          <w:color w:val="333333"/>
        </w:rPr>
        <w:t>are not intended for sale in the ordinary course of operations; and</w:t>
      </w:r>
    </w:p>
    <w:p w14:paraId="6CEAB7B0" w14:textId="77777777" w:rsidR="00D05E11" w:rsidRPr="003605A1" w:rsidRDefault="003605A1" w:rsidP="003605A1">
      <w:pPr>
        <w:pStyle w:val="ListParagraph"/>
        <w:numPr>
          <w:ilvl w:val="0"/>
          <w:numId w:val="2"/>
        </w:numPr>
        <w:spacing w:before="65" w:after="65" w:line="240" w:lineRule="auto"/>
        <w:rPr>
          <w:rFonts w:ascii="Arial" w:eastAsia="Times New Roman" w:hAnsi="Arial" w:cs="Arial"/>
          <w:color w:val="333333"/>
        </w:rPr>
      </w:pPr>
      <w:r w:rsidRPr="003605A1">
        <w:rPr>
          <w:rFonts w:ascii="Arial" w:eastAsia="Times New Roman" w:hAnsi="Arial" w:cs="Arial"/>
          <w:color w:val="333333"/>
        </w:rPr>
        <w:t xml:space="preserve">are not held as part of a collection </w:t>
      </w:r>
    </w:p>
    <w:p w14:paraId="0395D381" w14:textId="77777777" w:rsidR="00AF4DD8" w:rsidRDefault="00AF4DD8" w:rsidP="00A600FE">
      <w:pPr>
        <w:pStyle w:val="ListParagraph"/>
        <w:spacing w:before="65" w:after="65" w:line="240" w:lineRule="auto"/>
      </w:pPr>
    </w:p>
    <w:p w14:paraId="25DFA9F2" w14:textId="77777777" w:rsidR="00F132EA" w:rsidRPr="00A600FE" w:rsidRDefault="00F132EA">
      <w:pPr>
        <w:rPr>
          <w:rFonts w:ascii="Arial" w:eastAsia="Times New Roman" w:hAnsi="Arial" w:cs="Arial"/>
          <w:color w:val="333333"/>
        </w:rPr>
      </w:pPr>
      <w:r>
        <w:rPr>
          <w:rFonts w:ascii="Arial" w:eastAsia="Times New Roman" w:hAnsi="Arial" w:cs="Arial"/>
          <w:color w:val="333333"/>
        </w:rPr>
        <w:t>I</w:t>
      </w:r>
      <w:r w:rsidRPr="00A600FE">
        <w:rPr>
          <w:rFonts w:ascii="Arial" w:eastAsia="Times New Roman" w:hAnsi="Arial" w:cs="Arial"/>
          <w:color w:val="333333"/>
        </w:rPr>
        <w:t>ntangible asset</w:t>
      </w:r>
      <w:r>
        <w:rPr>
          <w:rFonts w:ascii="Arial" w:eastAsia="Times New Roman" w:hAnsi="Arial" w:cs="Arial"/>
          <w:color w:val="333333"/>
        </w:rPr>
        <w:t>s are</w:t>
      </w:r>
      <w:r w:rsidRPr="00A600FE">
        <w:rPr>
          <w:rFonts w:ascii="Arial" w:eastAsia="Times New Roman" w:hAnsi="Arial" w:cs="Arial"/>
          <w:color w:val="333333"/>
        </w:rPr>
        <w:t xml:space="preserve"> identifiable non-monetary asset</w:t>
      </w:r>
      <w:r>
        <w:rPr>
          <w:rFonts w:ascii="Arial" w:eastAsia="Times New Roman" w:hAnsi="Arial" w:cs="Arial"/>
          <w:color w:val="333333"/>
        </w:rPr>
        <w:t>s</w:t>
      </w:r>
      <w:r w:rsidRPr="00A600FE">
        <w:rPr>
          <w:rFonts w:ascii="Arial" w:eastAsia="Times New Roman" w:hAnsi="Arial" w:cs="Arial"/>
          <w:color w:val="333333"/>
        </w:rPr>
        <w:t xml:space="preserve"> without physical substance.</w:t>
      </w:r>
      <w:r>
        <w:rPr>
          <w:rFonts w:ascii="Arial" w:eastAsia="Times New Roman" w:hAnsi="Arial" w:cs="Arial"/>
          <w:color w:val="333333"/>
        </w:rPr>
        <w:t xml:space="preserve"> They are separately identifiable and </w:t>
      </w:r>
      <w:proofErr w:type="gramStart"/>
      <w:r>
        <w:rPr>
          <w:rFonts w:ascii="Arial" w:eastAsia="Times New Roman" w:hAnsi="Arial" w:cs="Arial"/>
          <w:color w:val="333333"/>
        </w:rPr>
        <w:t>controlled</w:t>
      </w:r>
      <w:r w:rsidR="00206BD4">
        <w:rPr>
          <w:rFonts w:ascii="Arial" w:eastAsia="Times New Roman" w:hAnsi="Arial" w:cs="Arial"/>
          <w:color w:val="333333"/>
        </w:rPr>
        <w:t>, and</w:t>
      </w:r>
      <w:proofErr w:type="gramEnd"/>
      <w:r w:rsidR="00206BD4">
        <w:rPr>
          <w:rFonts w:ascii="Arial" w:eastAsia="Times New Roman" w:hAnsi="Arial" w:cs="Arial"/>
          <w:color w:val="333333"/>
        </w:rPr>
        <w:t xml:space="preserve"> have</w:t>
      </w:r>
      <w:r>
        <w:rPr>
          <w:rFonts w:ascii="Arial" w:eastAsia="Times New Roman" w:hAnsi="Arial" w:cs="Arial"/>
          <w:color w:val="333333"/>
        </w:rPr>
        <w:t xml:space="preserve"> future economic benefits. </w:t>
      </w:r>
    </w:p>
    <w:p w14:paraId="10877798" w14:textId="77777777" w:rsidR="003605A1" w:rsidRPr="00164531" w:rsidRDefault="003605A1" w:rsidP="003605A1">
      <w:pPr>
        <w:autoSpaceDE w:val="0"/>
        <w:autoSpaceDN w:val="0"/>
        <w:adjustRightInd w:val="0"/>
        <w:spacing w:after="0" w:line="240" w:lineRule="auto"/>
        <w:rPr>
          <w:rFonts w:ascii="Arial" w:eastAsia="Times New Roman" w:hAnsi="Arial" w:cs="Arial"/>
          <w:b/>
          <w:color w:val="333333"/>
          <w:u w:val="single"/>
        </w:rPr>
      </w:pPr>
      <w:r w:rsidRPr="0034582B">
        <w:rPr>
          <w:rFonts w:ascii="Arial" w:eastAsia="Times New Roman" w:hAnsi="Arial" w:cs="Arial"/>
          <w:b/>
          <w:color w:val="333333"/>
          <w:u w:val="single"/>
        </w:rPr>
        <w:t xml:space="preserve">Application at </w:t>
      </w:r>
      <w:r w:rsidRPr="00164531">
        <w:rPr>
          <w:rFonts w:ascii="Arial" w:eastAsia="Times New Roman" w:hAnsi="Arial" w:cs="Arial"/>
          <w:b/>
          <w:color w:val="333333"/>
          <w:u w:val="single"/>
        </w:rPr>
        <w:t>Queen’s University</w:t>
      </w:r>
      <w:r w:rsidRPr="0034582B">
        <w:rPr>
          <w:rFonts w:ascii="Arial" w:eastAsia="Times New Roman" w:hAnsi="Arial" w:cs="Arial"/>
          <w:b/>
          <w:color w:val="333333"/>
          <w:u w:val="single"/>
        </w:rPr>
        <w:t xml:space="preserve"> </w:t>
      </w:r>
    </w:p>
    <w:p w14:paraId="3803AB0E" w14:textId="77777777" w:rsidR="003605A1" w:rsidRPr="00164531" w:rsidRDefault="003605A1" w:rsidP="003605A1">
      <w:pPr>
        <w:spacing w:before="100" w:beforeAutospacing="1" w:after="100" w:afterAutospacing="1" w:line="240" w:lineRule="auto"/>
        <w:rPr>
          <w:rFonts w:ascii="Arial" w:eastAsia="Times New Roman" w:hAnsi="Arial" w:cs="Arial"/>
          <w:b/>
          <w:color w:val="333333"/>
        </w:rPr>
      </w:pPr>
      <w:r w:rsidRPr="00164531">
        <w:rPr>
          <w:rFonts w:ascii="Arial" w:eastAsia="Times New Roman" w:hAnsi="Arial" w:cs="Arial"/>
          <w:b/>
          <w:color w:val="333333"/>
        </w:rPr>
        <w:t>Recognition and measurement</w:t>
      </w:r>
    </w:p>
    <w:p w14:paraId="7FC611B2" w14:textId="77777777" w:rsidR="00FB5F4E" w:rsidRDefault="00FB5F4E" w:rsidP="00FB5F4E">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Purchased assets shall be recorded at cost</w:t>
      </w:r>
      <w:r w:rsidRPr="0034582B">
        <w:rPr>
          <w:rFonts w:ascii="Arial" w:eastAsia="Times New Roman" w:hAnsi="Arial" w:cs="Arial"/>
          <w:color w:val="333333"/>
        </w:rPr>
        <w:t>.</w:t>
      </w:r>
      <w:r>
        <w:rPr>
          <w:rFonts w:ascii="Arial" w:eastAsia="Times New Roman" w:hAnsi="Arial" w:cs="Arial"/>
          <w:color w:val="333333"/>
        </w:rPr>
        <w:t xml:space="preserve">  </w:t>
      </w:r>
    </w:p>
    <w:p w14:paraId="6CA1E328" w14:textId="77777777" w:rsidR="00FB5F4E" w:rsidRDefault="00FB5F4E" w:rsidP="00FB5F4E">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Donated assets shall be recorded at fair value at the time of receipt</w:t>
      </w:r>
      <w:r w:rsidR="0000446F">
        <w:rPr>
          <w:rFonts w:ascii="Arial" w:eastAsia="Times New Roman" w:hAnsi="Arial" w:cs="Arial"/>
          <w:color w:val="333333"/>
        </w:rPr>
        <w:t>; except for, collections which are capitalized at a nominal value</w:t>
      </w:r>
      <w:r>
        <w:rPr>
          <w:rFonts w:ascii="Arial" w:eastAsia="Times New Roman" w:hAnsi="Arial" w:cs="Arial"/>
          <w:color w:val="333333"/>
        </w:rPr>
        <w:t xml:space="preserve">. </w:t>
      </w:r>
    </w:p>
    <w:p w14:paraId="19945B5D" w14:textId="77777777" w:rsidR="00FB5F4E" w:rsidRDefault="00FB5F4E" w:rsidP="00FB5F4E">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 xml:space="preserve">The cost of constructed assets shall include </w:t>
      </w:r>
      <w:r w:rsidRPr="00912CF5">
        <w:rPr>
          <w:rFonts w:ascii="Arial" w:eastAsia="Times New Roman" w:hAnsi="Arial" w:cs="Arial"/>
          <w:color w:val="333333"/>
        </w:rPr>
        <w:t xml:space="preserve">direct construction or development costs attributable to the construction or development activity. </w:t>
      </w:r>
    </w:p>
    <w:p w14:paraId="6B81AC90" w14:textId="77777777" w:rsidR="003868B5" w:rsidRDefault="003868B5" w:rsidP="00FB5F4E">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 xml:space="preserve">Interest on financing shall not be included in the cost of assets developed over </w:t>
      </w:r>
      <w:proofErr w:type="gramStart"/>
      <w:r>
        <w:rPr>
          <w:rFonts w:ascii="Arial" w:eastAsia="Times New Roman" w:hAnsi="Arial" w:cs="Arial"/>
          <w:color w:val="333333"/>
        </w:rPr>
        <w:t>a period of time</w:t>
      </w:r>
      <w:proofErr w:type="gramEnd"/>
      <w:r>
        <w:rPr>
          <w:rFonts w:ascii="Arial" w:eastAsia="Times New Roman" w:hAnsi="Arial" w:cs="Arial"/>
          <w:color w:val="333333"/>
        </w:rPr>
        <w:t>.</w:t>
      </w:r>
    </w:p>
    <w:p w14:paraId="68C60FD7" w14:textId="77777777" w:rsidR="00704870" w:rsidRPr="0034582B" w:rsidRDefault="00704870" w:rsidP="00704870">
      <w:pPr>
        <w:spacing w:before="100" w:beforeAutospacing="1" w:after="100" w:afterAutospacing="1" w:line="240" w:lineRule="auto"/>
        <w:rPr>
          <w:rFonts w:ascii="Arial" w:eastAsia="Times New Roman" w:hAnsi="Arial" w:cs="Arial"/>
          <w:b/>
          <w:color w:val="333333"/>
        </w:rPr>
      </w:pPr>
      <w:r w:rsidRPr="00704870">
        <w:rPr>
          <w:rFonts w:ascii="Arial" w:eastAsia="Times New Roman" w:hAnsi="Arial" w:cs="Arial"/>
          <w:b/>
          <w:color w:val="333333"/>
        </w:rPr>
        <w:t>Asset Classification</w:t>
      </w:r>
    </w:p>
    <w:p w14:paraId="115A8AF1" w14:textId="77777777" w:rsidR="00704870" w:rsidRPr="0034582B" w:rsidRDefault="002C2889" w:rsidP="00C85BDB">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 xml:space="preserve">Capital </w:t>
      </w:r>
      <w:r w:rsidR="00704870" w:rsidRPr="0034582B">
        <w:rPr>
          <w:rFonts w:ascii="Arial" w:eastAsia="Times New Roman" w:hAnsi="Arial" w:cs="Arial"/>
          <w:color w:val="333333"/>
        </w:rPr>
        <w:t>assets should be categorized into</w:t>
      </w:r>
      <w:r w:rsidR="00704870">
        <w:rPr>
          <w:rFonts w:ascii="Arial" w:eastAsia="Times New Roman" w:hAnsi="Arial" w:cs="Arial"/>
          <w:color w:val="333333"/>
        </w:rPr>
        <w:t xml:space="preserve"> one</w:t>
      </w:r>
      <w:r w:rsidR="00704870" w:rsidRPr="0034582B">
        <w:rPr>
          <w:rFonts w:ascii="Arial" w:eastAsia="Times New Roman" w:hAnsi="Arial" w:cs="Arial"/>
          <w:color w:val="333333"/>
        </w:rPr>
        <w:t xml:space="preserve"> the following</w:t>
      </w:r>
      <w:r w:rsidR="00704870">
        <w:rPr>
          <w:rFonts w:ascii="Arial" w:eastAsia="Times New Roman" w:hAnsi="Arial" w:cs="Arial"/>
          <w:color w:val="333333"/>
        </w:rPr>
        <w:t xml:space="preserve"> classifications</w:t>
      </w:r>
      <w:r w:rsidR="00704870" w:rsidRPr="0034582B">
        <w:rPr>
          <w:rFonts w:ascii="Arial" w:eastAsia="Times New Roman" w:hAnsi="Arial" w:cs="Arial"/>
          <w:color w:val="333333"/>
        </w:rPr>
        <w:t>:</w:t>
      </w:r>
    </w:p>
    <w:p w14:paraId="5990FF3D" w14:textId="77777777" w:rsidR="00704870" w:rsidRPr="0034582B" w:rsidRDefault="00704870" w:rsidP="00704870">
      <w:pPr>
        <w:numPr>
          <w:ilvl w:val="0"/>
          <w:numId w:val="6"/>
        </w:numPr>
        <w:spacing w:before="100" w:beforeAutospacing="1" w:after="100" w:afterAutospacing="1" w:line="240" w:lineRule="auto"/>
        <w:rPr>
          <w:rFonts w:ascii="Arial" w:eastAsia="Times New Roman" w:hAnsi="Arial" w:cs="Arial"/>
          <w:color w:val="333333"/>
        </w:rPr>
      </w:pPr>
      <w:r w:rsidRPr="0034582B">
        <w:rPr>
          <w:rFonts w:ascii="Arial" w:eastAsia="Times New Roman" w:hAnsi="Arial" w:cs="Arial"/>
          <w:color w:val="333333"/>
        </w:rPr>
        <w:t>Land</w:t>
      </w:r>
    </w:p>
    <w:p w14:paraId="2A9CB023" w14:textId="77777777" w:rsidR="00704870" w:rsidRPr="0034582B" w:rsidRDefault="00704870" w:rsidP="00704870">
      <w:pPr>
        <w:numPr>
          <w:ilvl w:val="0"/>
          <w:numId w:val="6"/>
        </w:numPr>
        <w:spacing w:before="100" w:beforeAutospacing="1" w:after="100" w:afterAutospacing="1" w:line="240" w:lineRule="auto"/>
        <w:rPr>
          <w:rFonts w:ascii="Arial" w:eastAsia="Times New Roman" w:hAnsi="Arial" w:cs="Arial"/>
          <w:color w:val="333333"/>
        </w:rPr>
      </w:pPr>
      <w:r w:rsidRPr="0034582B">
        <w:rPr>
          <w:rFonts w:ascii="Arial" w:eastAsia="Times New Roman" w:hAnsi="Arial" w:cs="Arial"/>
          <w:color w:val="333333"/>
        </w:rPr>
        <w:t>Buildings</w:t>
      </w:r>
      <w:r w:rsidR="0000446F">
        <w:rPr>
          <w:rFonts w:ascii="Arial" w:eastAsia="Times New Roman" w:hAnsi="Arial" w:cs="Arial"/>
          <w:color w:val="333333"/>
        </w:rPr>
        <w:t xml:space="preserve"> and its components</w:t>
      </w:r>
    </w:p>
    <w:p w14:paraId="581DF48C" w14:textId="77777777" w:rsidR="00704870" w:rsidRPr="00704870" w:rsidRDefault="00704870" w:rsidP="00704870">
      <w:pPr>
        <w:numPr>
          <w:ilvl w:val="0"/>
          <w:numId w:val="6"/>
        </w:numPr>
        <w:spacing w:before="100" w:beforeAutospacing="1" w:after="100" w:afterAutospacing="1" w:line="240" w:lineRule="auto"/>
        <w:rPr>
          <w:rFonts w:ascii="Arial" w:eastAsia="Times New Roman" w:hAnsi="Arial" w:cs="Arial"/>
          <w:color w:val="333333"/>
        </w:rPr>
      </w:pPr>
      <w:r w:rsidRPr="0034582B">
        <w:rPr>
          <w:rFonts w:ascii="Arial" w:eastAsia="Times New Roman" w:hAnsi="Arial" w:cs="Arial"/>
          <w:color w:val="333333"/>
        </w:rPr>
        <w:t>Equipment</w:t>
      </w:r>
      <w:r w:rsidRPr="00704870">
        <w:rPr>
          <w:rFonts w:ascii="Arial" w:eastAsia="Times New Roman" w:hAnsi="Arial" w:cs="Arial"/>
          <w:color w:val="333333"/>
        </w:rPr>
        <w:t xml:space="preserve"> and furnishings</w:t>
      </w:r>
    </w:p>
    <w:p w14:paraId="103B83CB" w14:textId="77777777" w:rsidR="00BC3C01" w:rsidRPr="00BC3C01" w:rsidRDefault="00704870" w:rsidP="00BC3C01">
      <w:pPr>
        <w:numPr>
          <w:ilvl w:val="0"/>
          <w:numId w:val="6"/>
        </w:numPr>
        <w:spacing w:before="100" w:beforeAutospacing="1" w:after="100" w:afterAutospacing="1" w:line="240" w:lineRule="auto"/>
        <w:rPr>
          <w:rFonts w:ascii="Arial" w:eastAsia="Times New Roman" w:hAnsi="Arial" w:cs="Arial"/>
          <w:color w:val="333333"/>
        </w:rPr>
      </w:pPr>
      <w:r w:rsidRPr="00704870">
        <w:rPr>
          <w:rFonts w:ascii="Arial" w:eastAsia="Times New Roman" w:hAnsi="Arial" w:cs="Arial"/>
          <w:color w:val="333333"/>
        </w:rPr>
        <w:t>Library acquisitions</w:t>
      </w:r>
    </w:p>
    <w:p w14:paraId="563BA98F" w14:textId="77777777" w:rsidR="00704870" w:rsidRPr="0034582B" w:rsidRDefault="00704870" w:rsidP="00704870">
      <w:pPr>
        <w:numPr>
          <w:ilvl w:val="0"/>
          <w:numId w:val="6"/>
        </w:numPr>
        <w:spacing w:before="100" w:beforeAutospacing="1" w:after="100" w:afterAutospacing="1" w:line="240" w:lineRule="auto"/>
        <w:rPr>
          <w:rFonts w:ascii="Arial" w:eastAsia="Times New Roman" w:hAnsi="Arial" w:cs="Arial"/>
          <w:color w:val="333333"/>
        </w:rPr>
      </w:pPr>
      <w:r w:rsidRPr="0034582B">
        <w:rPr>
          <w:rFonts w:ascii="Arial" w:eastAsia="Times New Roman" w:hAnsi="Arial" w:cs="Arial"/>
          <w:color w:val="333333"/>
        </w:rPr>
        <w:t>Construction in progress</w:t>
      </w:r>
    </w:p>
    <w:p w14:paraId="49E4B03C" w14:textId="77777777" w:rsidR="00704870" w:rsidRDefault="00704870" w:rsidP="00704870">
      <w:pPr>
        <w:numPr>
          <w:ilvl w:val="0"/>
          <w:numId w:val="6"/>
        </w:numPr>
        <w:spacing w:before="100" w:beforeAutospacing="1" w:after="100" w:afterAutospacing="1" w:line="240" w:lineRule="auto"/>
        <w:rPr>
          <w:rFonts w:ascii="Arial" w:eastAsia="Times New Roman" w:hAnsi="Arial" w:cs="Arial"/>
          <w:color w:val="333333"/>
        </w:rPr>
      </w:pPr>
      <w:r w:rsidRPr="0034582B">
        <w:rPr>
          <w:rFonts w:ascii="Arial" w:eastAsia="Times New Roman" w:hAnsi="Arial" w:cs="Arial"/>
          <w:color w:val="333333"/>
        </w:rPr>
        <w:t xml:space="preserve">Intangible </w:t>
      </w:r>
      <w:r w:rsidR="00667F29">
        <w:rPr>
          <w:rFonts w:ascii="Arial" w:eastAsia="Times New Roman" w:hAnsi="Arial" w:cs="Arial"/>
          <w:color w:val="333333"/>
        </w:rPr>
        <w:t>a</w:t>
      </w:r>
      <w:r w:rsidRPr="0034582B">
        <w:rPr>
          <w:rFonts w:ascii="Arial" w:eastAsia="Times New Roman" w:hAnsi="Arial" w:cs="Arial"/>
          <w:color w:val="333333"/>
        </w:rPr>
        <w:t>ssets</w:t>
      </w:r>
    </w:p>
    <w:p w14:paraId="6549CD1B" w14:textId="77777777" w:rsidR="00BC3C01" w:rsidRPr="0034582B" w:rsidRDefault="00BC3C01" w:rsidP="00704870">
      <w:pPr>
        <w:numPr>
          <w:ilvl w:val="0"/>
          <w:numId w:val="6"/>
        </w:num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Leasehold improvements</w:t>
      </w:r>
    </w:p>
    <w:p w14:paraId="5B4E6072" w14:textId="02905533" w:rsidR="00704870" w:rsidRPr="0034582B" w:rsidRDefault="004E0FAF" w:rsidP="00704870">
      <w:pPr>
        <w:spacing w:before="100" w:beforeAutospacing="1" w:after="100" w:afterAutospacing="1" w:line="240" w:lineRule="auto"/>
        <w:rPr>
          <w:rFonts w:ascii="Arial" w:eastAsia="Times New Roman" w:hAnsi="Arial" w:cs="Arial"/>
          <w:b/>
          <w:color w:val="333333"/>
        </w:rPr>
      </w:pPr>
      <w:r w:rsidRPr="004E0FAF">
        <w:rPr>
          <w:rFonts w:ascii="Arial" w:eastAsia="Times New Roman" w:hAnsi="Arial" w:cs="Arial"/>
          <w:b/>
          <w:color w:val="333333"/>
        </w:rPr>
        <w:t>Capitalization thresholds</w:t>
      </w:r>
    </w:p>
    <w:p w14:paraId="68D6D4DF" w14:textId="77777777" w:rsidR="00577B0F" w:rsidRDefault="00667F29" w:rsidP="00577B0F">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Items of e</w:t>
      </w:r>
      <w:r w:rsidR="00577B0F" w:rsidRPr="00B634F8">
        <w:rPr>
          <w:rFonts w:ascii="Arial" w:eastAsia="Times New Roman" w:hAnsi="Arial" w:cs="Arial"/>
          <w:color w:val="333333"/>
        </w:rPr>
        <w:t>quipment</w:t>
      </w:r>
      <w:r w:rsidR="00577B0F">
        <w:rPr>
          <w:rFonts w:ascii="Arial" w:eastAsia="Times New Roman" w:hAnsi="Arial" w:cs="Arial"/>
          <w:color w:val="333333"/>
        </w:rPr>
        <w:t xml:space="preserve"> and </w:t>
      </w:r>
      <w:r w:rsidR="00577B0F" w:rsidRPr="00B634F8">
        <w:rPr>
          <w:rFonts w:ascii="Arial" w:eastAsia="Times New Roman" w:hAnsi="Arial" w:cs="Arial"/>
          <w:color w:val="333333"/>
        </w:rPr>
        <w:t xml:space="preserve">furnishings, with a life expectancy of </w:t>
      </w:r>
      <w:r w:rsidR="00577B0F">
        <w:rPr>
          <w:rFonts w:ascii="Arial" w:eastAsia="Times New Roman" w:hAnsi="Arial" w:cs="Arial"/>
          <w:color w:val="333333"/>
        </w:rPr>
        <w:t>1</w:t>
      </w:r>
      <w:r w:rsidR="00577B0F" w:rsidRPr="00B634F8">
        <w:rPr>
          <w:rFonts w:ascii="Arial" w:eastAsia="Times New Roman" w:hAnsi="Arial" w:cs="Arial"/>
          <w:color w:val="333333"/>
        </w:rPr>
        <w:t xml:space="preserve"> year or more and a value of $10,000 or more are considered capital assets.</w:t>
      </w:r>
    </w:p>
    <w:p w14:paraId="14B15897" w14:textId="77777777" w:rsidR="00704870" w:rsidRPr="00BD4E69" w:rsidRDefault="00704870" w:rsidP="00704870">
      <w:pPr>
        <w:spacing w:before="100" w:beforeAutospacing="1" w:after="100" w:afterAutospacing="1" w:line="240" w:lineRule="auto"/>
        <w:rPr>
          <w:rFonts w:ascii="Arial" w:eastAsia="Times New Roman" w:hAnsi="Arial" w:cs="Arial"/>
          <w:color w:val="333333"/>
        </w:rPr>
      </w:pPr>
      <w:r w:rsidRPr="00B634F8">
        <w:rPr>
          <w:rFonts w:ascii="Arial" w:eastAsia="Times New Roman" w:hAnsi="Arial" w:cs="Arial"/>
          <w:color w:val="333333"/>
        </w:rPr>
        <w:lastRenderedPageBreak/>
        <w:t xml:space="preserve">Intangible assets with a life </w:t>
      </w:r>
      <w:r w:rsidRPr="00BD4E69">
        <w:rPr>
          <w:rFonts w:ascii="Arial" w:eastAsia="Times New Roman" w:hAnsi="Arial" w:cs="Arial"/>
          <w:color w:val="333333"/>
        </w:rPr>
        <w:t>expectancy of 5 years or more and a value of $</w:t>
      </w:r>
      <w:r w:rsidR="00731D8B" w:rsidRPr="00BD4E69">
        <w:rPr>
          <w:rFonts w:ascii="Arial" w:eastAsia="Times New Roman" w:hAnsi="Arial" w:cs="Arial"/>
          <w:color w:val="333333"/>
        </w:rPr>
        <w:t>5</w:t>
      </w:r>
      <w:r w:rsidR="004E0FAF" w:rsidRPr="00BD4E69">
        <w:rPr>
          <w:rFonts w:ascii="Arial" w:eastAsia="Times New Roman" w:hAnsi="Arial" w:cs="Arial"/>
          <w:color w:val="333333"/>
        </w:rPr>
        <w:t>00,</w:t>
      </w:r>
      <w:r w:rsidRPr="00BD4E69">
        <w:rPr>
          <w:rFonts w:ascii="Arial" w:eastAsia="Times New Roman" w:hAnsi="Arial" w:cs="Arial"/>
          <w:color w:val="333333"/>
        </w:rPr>
        <w:t>000 or more are considered capital assets.</w:t>
      </w:r>
    </w:p>
    <w:p w14:paraId="72A049B5" w14:textId="77777777" w:rsidR="00704870" w:rsidRDefault="00577B0F" w:rsidP="00704870">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Leasehold improvements, and r</w:t>
      </w:r>
      <w:r w:rsidR="00704870" w:rsidRPr="00BD4E69">
        <w:rPr>
          <w:rFonts w:ascii="Arial" w:eastAsia="Times New Roman" w:hAnsi="Arial" w:cs="Arial"/>
          <w:color w:val="333333"/>
        </w:rPr>
        <w:t>enovations and alterations that meet the definition of a betterment and have a value of $</w:t>
      </w:r>
      <w:r w:rsidR="00731D8B" w:rsidRPr="00BD4E69">
        <w:rPr>
          <w:rFonts w:ascii="Arial" w:eastAsia="Times New Roman" w:hAnsi="Arial" w:cs="Arial"/>
          <w:color w:val="333333"/>
        </w:rPr>
        <w:t>50</w:t>
      </w:r>
      <w:r w:rsidR="00704870" w:rsidRPr="00BD4E69">
        <w:rPr>
          <w:rFonts w:ascii="Arial" w:eastAsia="Times New Roman" w:hAnsi="Arial" w:cs="Arial"/>
          <w:color w:val="333333"/>
        </w:rPr>
        <w:t>0,000 or</w:t>
      </w:r>
      <w:r w:rsidR="00704870" w:rsidRPr="00B634F8">
        <w:rPr>
          <w:rFonts w:ascii="Arial" w:eastAsia="Times New Roman" w:hAnsi="Arial" w:cs="Arial"/>
          <w:color w:val="333333"/>
        </w:rPr>
        <w:t xml:space="preserve"> more are considered capital assets.  A betterment is a </w:t>
      </w:r>
      <w:r w:rsidR="00704870" w:rsidRPr="00912CF5">
        <w:rPr>
          <w:rFonts w:ascii="Arial" w:eastAsia="Times New Roman" w:hAnsi="Arial" w:cs="Arial"/>
          <w:color w:val="333333"/>
        </w:rPr>
        <w:t>cost incurred to enhance the service potential of a tangible capital asset. Service potential may be enhanced when there is an increase in the previously assessed service capacity, associated operating costs are lowered, the useful life is extended, or the quality of output is improved. The cost incurred in the maintenance of the service potential of a tangible capital asset is a repair, not a betterment.</w:t>
      </w:r>
      <w:r w:rsidR="0076613A">
        <w:rPr>
          <w:rFonts w:ascii="Arial" w:eastAsia="Times New Roman" w:hAnsi="Arial" w:cs="Arial"/>
          <w:color w:val="333333"/>
        </w:rPr>
        <w:t xml:space="preserve"> </w:t>
      </w:r>
    </w:p>
    <w:p w14:paraId="0A388F15" w14:textId="77777777" w:rsidR="004E0FAF" w:rsidRDefault="004E0FAF" w:rsidP="00704870">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All library books</w:t>
      </w:r>
      <w:r w:rsidR="007A32C9">
        <w:rPr>
          <w:rFonts w:ascii="Arial" w:eastAsia="Times New Roman" w:hAnsi="Arial" w:cs="Arial"/>
          <w:color w:val="333333"/>
        </w:rPr>
        <w:t>, not part of a collection,</w:t>
      </w:r>
      <w:r>
        <w:rPr>
          <w:rFonts w:ascii="Arial" w:eastAsia="Times New Roman" w:hAnsi="Arial" w:cs="Arial"/>
          <w:color w:val="333333"/>
        </w:rPr>
        <w:t xml:space="preserve"> are capitalized</w:t>
      </w:r>
      <w:r w:rsidR="00947D23">
        <w:rPr>
          <w:rFonts w:ascii="Arial" w:eastAsia="Times New Roman" w:hAnsi="Arial" w:cs="Arial"/>
          <w:color w:val="333333"/>
        </w:rPr>
        <w:t>. Library books part of a collection are capitalized at nominal value.</w:t>
      </w:r>
    </w:p>
    <w:p w14:paraId="36D5C284" w14:textId="77777777" w:rsidR="00577B0F" w:rsidRDefault="00577B0F" w:rsidP="00577B0F">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Land and buildings are considered capital assets unless they are being held only for resale, (which sometimes happens in the case of donated land or a donated building).</w:t>
      </w:r>
    </w:p>
    <w:p w14:paraId="41940A09" w14:textId="1FC2CA4C" w:rsidR="00BC3C01" w:rsidRDefault="00947D23" w:rsidP="00577B0F">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 xml:space="preserve">New </w:t>
      </w:r>
      <w:r w:rsidR="00BC3C01">
        <w:rPr>
          <w:rFonts w:ascii="Arial" w:eastAsia="Times New Roman" w:hAnsi="Arial" w:cs="Arial"/>
          <w:color w:val="333333"/>
        </w:rPr>
        <w:t xml:space="preserve">buildings that are capitalized beginning </w:t>
      </w:r>
      <w:r w:rsidR="00D42377">
        <w:rPr>
          <w:rFonts w:ascii="Arial" w:eastAsia="Times New Roman" w:hAnsi="Arial" w:cs="Arial"/>
          <w:color w:val="333333"/>
        </w:rPr>
        <w:t>fiscal 2020 have their costs componentized into 1 of 3 categories: building shell, building services</w:t>
      </w:r>
      <w:r w:rsidR="00A950D1">
        <w:rPr>
          <w:rFonts w:ascii="Arial" w:eastAsia="Times New Roman" w:hAnsi="Arial" w:cs="Arial"/>
          <w:color w:val="333333"/>
        </w:rPr>
        <w:t xml:space="preserve"> and roofing</w:t>
      </w:r>
      <w:r w:rsidR="00D42377">
        <w:rPr>
          <w:rFonts w:ascii="Arial" w:eastAsia="Times New Roman" w:hAnsi="Arial" w:cs="Arial"/>
          <w:color w:val="333333"/>
        </w:rPr>
        <w:t xml:space="preserve"> and interior construction. </w:t>
      </w:r>
      <w:r>
        <w:rPr>
          <w:rFonts w:ascii="Arial" w:eastAsia="Times New Roman" w:hAnsi="Arial" w:cs="Arial"/>
          <w:color w:val="333333"/>
        </w:rPr>
        <w:t xml:space="preserve">Residual costs to land and buildings that have been capitalized prior to 2020, </w:t>
      </w:r>
      <w:r w:rsidR="0000446F">
        <w:rPr>
          <w:rFonts w:ascii="Arial" w:eastAsia="Times New Roman" w:hAnsi="Arial" w:cs="Arial"/>
          <w:color w:val="333333"/>
        </w:rPr>
        <w:t xml:space="preserve">are </w:t>
      </w:r>
      <w:r>
        <w:rPr>
          <w:rFonts w:ascii="Arial" w:eastAsia="Times New Roman" w:hAnsi="Arial" w:cs="Arial"/>
          <w:color w:val="333333"/>
        </w:rPr>
        <w:t xml:space="preserve">capitalized under the previous </w:t>
      </w:r>
      <w:r w:rsidR="00771E0F">
        <w:rPr>
          <w:rFonts w:ascii="Arial" w:eastAsia="Times New Roman" w:hAnsi="Arial" w:cs="Arial"/>
          <w:color w:val="333333"/>
        </w:rPr>
        <w:t>procedure</w:t>
      </w:r>
      <w:r>
        <w:rPr>
          <w:rFonts w:ascii="Arial" w:eastAsia="Times New Roman" w:hAnsi="Arial" w:cs="Arial"/>
          <w:color w:val="333333"/>
        </w:rPr>
        <w:t xml:space="preserve">. Each </w:t>
      </w:r>
      <w:r w:rsidR="00D42377">
        <w:rPr>
          <w:rFonts w:ascii="Arial" w:eastAsia="Times New Roman" w:hAnsi="Arial" w:cs="Arial"/>
          <w:color w:val="333333"/>
        </w:rPr>
        <w:t xml:space="preserve">building or building renovation that is considered a capital asset is classified into 1 of 4 types: New </w:t>
      </w:r>
      <w:r w:rsidR="0000446F">
        <w:rPr>
          <w:rFonts w:ascii="Arial" w:eastAsia="Times New Roman" w:hAnsi="Arial" w:cs="Arial"/>
          <w:color w:val="333333"/>
        </w:rPr>
        <w:t>B</w:t>
      </w:r>
      <w:r w:rsidR="00D42377">
        <w:rPr>
          <w:rFonts w:ascii="Arial" w:eastAsia="Times New Roman" w:hAnsi="Arial" w:cs="Arial"/>
          <w:color w:val="333333"/>
        </w:rPr>
        <w:t>uild, Retrofit, Utility/Site build</w:t>
      </w:r>
      <w:r w:rsidR="00A950D1">
        <w:rPr>
          <w:rFonts w:ascii="Arial" w:eastAsia="Times New Roman" w:hAnsi="Arial" w:cs="Arial"/>
          <w:color w:val="333333"/>
        </w:rPr>
        <w:t xml:space="preserve"> or</w:t>
      </w:r>
      <w:r w:rsidR="00D42377">
        <w:rPr>
          <w:rFonts w:ascii="Arial" w:eastAsia="Times New Roman" w:hAnsi="Arial" w:cs="Arial"/>
          <w:color w:val="333333"/>
        </w:rPr>
        <w:t xml:space="preserve"> </w:t>
      </w:r>
      <w:r w:rsidR="0000446F">
        <w:rPr>
          <w:rFonts w:ascii="Arial" w:eastAsia="Times New Roman" w:hAnsi="Arial" w:cs="Arial"/>
          <w:color w:val="333333"/>
        </w:rPr>
        <w:t>F</w:t>
      </w:r>
      <w:r w:rsidR="00D42377">
        <w:rPr>
          <w:rFonts w:ascii="Arial" w:eastAsia="Times New Roman" w:hAnsi="Arial" w:cs="Arial"/>
          <w:color w:val="333333"/>
        </w:rPr>
        <w:t>ield</w:t>
      </w:r>
      <w:r w:rsidR="00A950D1">
        <w:rPr>
          <w:rFonts w:ascii="Arial" w:eastAsia="Times New Roman" w:hAnsi="Arial" w:cs="Arial"/>
          <w:color w:val="333333"/>
        </w:rPr>
        <w:t>s</w:t>
      </w:r>
      <w:r w:rsidR="00D42377">
        <w:rPr>
          <w:rFonts w:ascii="Arial" w:eastAsia="Times New Roman" w:hAnsi="Arial" w:cs="Arial"/>
          <w:color w:val="333333"/>
        </w:rPr>
        <w:t xml:space="preserve"> and </w:t>
      </w:r>
      <w:r w:rsidR="0000446F">
        <w:rPr>
          <w:rFonts w:ascii="Arial" w:eastAsia="Times New Roman" w:hAnsi="Arial" w:cs="Arial"/>
          <w:color w:val="333333"/>
        </w:rPr>
        <w:t>S</w:t>
      </w:r>
      <w:r w:rsidR="00D42377">
        <w:rPr>
          <w:rFonts w:ascii="Arial" w:eastAsia="Times New Roman" w:hAnsi="Arial" w:cs="Arial"/>
          <w:color w:val="333333"/>
        </w:rPr>
        <w:t xml:space="preserve">tadiums. </w:t>
      </w:r>
      <w:r w:rsidR="00A950D1">
        <w:rPr>
          <w:rFonts w:ascii="Arial" w:eastAsia="Times New Roman" w:hAnsi="Arial" w:cs="Arial"/>
          <w:color w:val="333333"/>
        </w:rPr>
        <w:t xml:space="preserve">The project type determines the breakdown of the component costs (chart below). </w:t>
      </w:r>
      <w:r w:rsidR="00D42377">
        <w:rPr>
          <w:rFonts w:ascii="Arial" w:eastAsia="Times New Roman" w:hAnsi="Arial" w:cs="Arial"/>
          <w:color w:val="333333"/>
        </w:rPr>
        <w:t xml:space="preserve">An ongoing review for each new addition is still </w:t>
      </w:r>
      <w:r w:rsidR="0000446F">
        <w:rPr>
          <w:rFonts w:ascii="Arial" w:eastAsia="Times New Roman" w:hAnsi="Arial" w:cs="Arial"/>
          <w:color w:val="333333"/>
        </w:rPr>
        <w:t>completed</w:t>
      </w:r>
      <w:r w:rsidR="00D42377">
        <w:rPr>
          <w:rFonts w:ascii="Arial" w:eastAsia="Times New Roman" w:hAnsi="Arial" w:cs="Arial"/>
          <w:color w:val="333333"/>
        </w:rPr>
        <w:t xml:space="preserve"> to ensure the type assigned </w:t>
      </w:r>
      <w:r w:rsidR="00A950D1">
        <w:rPr>
          <w:rFonts w:ascii="Arial" w:eastAsia="Times New Roman" w:hAnsi="Arial" w:cs="Arial"/>
          <w:color w:val="333333"/>
        </w:rPr>
        <w:t>to it</w:t>
      </w:r>
      <w:r w:rsidR="00D42377">
        <w:rPr>
          <w:rFonts w:ascii="Arial" w:eastAsia="Times New Roman" w:hAnsi="Arial" w:cs="Arial"/>
          <w:color w:val="333333"/>
        </w:rPr>
        <w:t xml:space="preserve"> reasonabl</w:t>
      </w:r>
      <w:r w:rsidR="00A950D1">
        <w:rPr>
          <w:rFonts w:ascii="Arial" w:eastAsia="Times New Roman" w:hAnsi="Arial" w:cs="Arial"/>
          <w:color w:val="333333"/>
        </w:rPr>
        <w:t>y reflects the</w:t>
      </w:r>
      <w:r w:rsidR="00D42377">
        <w:rPr>
          <w:rFonts w:ascii="Arial" w:eastAsia="Times New Roman" w:hAnsi="Arial" w:cs="Arial"/>
          <w:color w:val="333333"/>
        </w:rPr>
        <w:t xml:space="preserve"> actual costs</w:t>
      </w:r>
      <w:r w:rsidR="00A950D1">
        <w:rPr>
          <w:rFonts w:ascii="Arial" w:eastAsia="Times New Roman" w:hAnsi="Arial" w:cs="Arial"/>
          <w:color w:val="333333"/>
        </w:rPr>
        <w:t xml:space="preserve"> of the addition.</w:t>
      </w:r>
    </w:p>
    <w:tbl>
      <w:tblPr>
        <w:tblStyle w:val="TableGrid"/>
        <w:tblW w:w="0" w:type="auto"/>
        <w:tblLook w:val="04A0" w:firstRow="1" w:lastRow="0" w:firstColumn="1" w:lastColumn="0" w:noHBand="0" w:noVBand="1"/>
      </w:tblPr>
      <w:tblGrid>
        <w:gridCol w:w="2522"/>
        <w:gridCol w:w="1723"/>
        <w:gridCol w:w="1675"/>
        <w:gridCol w:w="1771"/>
        <w:gridCol w:w="1659"/>
      </w:tblGrid>
      <w:tr w:rsidR="00A950D1" w14:paraId="2C1FCA77" w14:textId="77777777" w:rsidTr="00A950D1">
        <w:tc>
          <w:tcPr>
            <w:tcW w:w="2557" w:type="dxa"/>
            <w:shd w:val="pct12" w:color="auto" w:fill="auto"/>
          </w:tcPr>
          <w:p w14:paraId="6751CB11" w14:textId="77777777" w:rsidR="00A950D1" w:rsidRPr="00577B0F" w:rsidRDefault="00A950D1" w:rsidP="003748BB">
            <w:pPr>
              <w:spacing w:before="100" w:beforeAutospacing="1" w:after="100" w:afterAutospacing="1"/>
              <w:rPr>
                <w:rFonts w:ascii="Arial" w:eastAsia="Times New Roman" w:hAnsi="Arial" w:cs="Arial"/>
                <w:b/>
                <w:color w:val="333333"/>
              </w:rPr>
            </w:pPr>
            <w:r>
              <w:rPr>
                <w:rFonts w:ascii="Arial" w:eastAsia="Times New Roman" w:hAnsi="Arial" w:cs="Arial"/>
                <w:b/>
                <w:color w:val="333333"/>
              </w:rPr>
              <w:t>Cost allocation</w:t>
            </w:r>
          </w:p>
        </w:tc>
        <w:tc>
          <w:tcPr>
            <w:tcW w:w="1748" w:type="dxa"/>
            <w:shd w:val="pct12" w:color="auto" w:fill="auto"/>
          </w:tcPr>
          <w:p w14:paraId="47E8362C" w14:textId="77777777" w:rsidR="00A950D1" w:rsidRPr="00577B0F" w:rsidRDefault="00A950D1" w:rsidP="003748BB">
            <w:pPr>
              <w:spacing w:before="100" w:beforeAutospacing="1" w:after="100" w:afterAutospacing="1"/>
              <w:rPr>
                <w:rFonts w:ascii="Arial" w:eastAsia="Times New Roman" w:hAnsi="Arial" w:cs="Arial"/>
                <w:b/>
                <w:color w:val="333333"/>
              </w:rPr>
            </w:pPr>
            <w:r>
              <w:rPr>
                <w:rFonts w:ascii="Arial" w:eastAsia="Times New Roman" w:hAnsi="Arial" w:cs="Arial"/>
                <w:b/>
                <w:color w:val="333333"/>
              </w:rPr>
              <w:t>Project type</w:t>
            </w:r>
          </w:p>
        </w:tc>
        <w:tc>
          <w:tcPr>
            <w:tcW w:w="1697" w:type="dxa"/>
            <w:shd w:val="pct12" w:color="auto" w:fill="auto"/>
          </w:tcPr>
          <w:p w14:paraId="32731E83" w14:textId="77777777" w:rsidR="00A950D1" w:rsidRPr="00577B0F" w:rsidRDefault="00A950D1" w:rsidP="003748BB">
            <w:pPr>
              <w:spacing w:before="100" w:beforeAutospacing="1" w:after="100" w:afterAutospacing="1"/>
              <w:rPr>
                <w:rFonts w:ascii="Arial" w:eastAsia="Times New Roman" w:hAnsi="Arial" w:cs="Arial"/>
                <w:b/>
                <w:color w:val="333333"/>
              </w:rPr>
            </w:pPr>
          </w:p>
        </w:tc>
        <w:tc>
          <w:tcPr>
            <w:tcW w:w="1786" w:type="dxa"/>
            <w:shd w:val="pct12" w:color="auto" w:fill="auto"/>
          </w:tcPr>
          <w:p w14:paraId="056649FB" w14:textId="77777777" w:rsidR="00A950D1" w:rsidRPr="00577B0F" w:rsidRDefault="00A950D1" w:rsidP="003748BB">
            <w:pPr>
              <w:spacing w:before="100" w:beforeAutospacing="1" w:after="100" w:afterAutospacing="1"/>
              <w:rPr>
                <w:rFonts w:ascii="Arial" w:eastAsia="Times New Roman" w:hAnsi="Arial" w:cs="Arial"/>
                <w:b/>
                <w:color w:val="333333"/>
              </w:rPr>
            </w:pPr>
          </w:p>
        </w:tc>
        <w:tc>
          <w:tcPr>
            <w:tcW w:w="1562" w:type="dxa"/>
            <w:shd w:val="pct12" w:color="auto" w:fill="auto"/>
          </w:tcPr>
          <w:p w14:paraId="4030D31D" w14:textId="77777777" w:rsidR="00A950D1" w:rsidRPr="00577B0F" w:rsidRDefault="00A950D1" w:rsidP="003748BB">
            <w:pPr>
              <w:spacing w:before="100" w:beforeAutospacing="1" w:after="100" w:afterAutospacing="1"/>
              <w:rPr>
                <w:rFonts w:ascii="Arial" w:eastAsia="Times New Roman" w:hAnsi="Arial" w:cs="Arial"/>
                <w:b/>
                <w:color w:val="333333"/>
              </w:rPr>
            </w:pPr>
          </w:p>
        </w:tc>
      </w:tr>
      <w:tr w:rsidR="00A950D1" w:rsidRPr="00A950D1" w14:paraId="1D4BE3E3" w14:textId="77777777" w:rsidTr="00A950D1">
        <w:tc>
          <w:tcPr>
            <w:tcW w:w="2557" w:type="dxa"/>
          </w:tcPr>
          <w:p w14:paraId="5AA70348" w14:textId="77777777" w:rsidR="00A950D1" w:rsidRPr="00A950D1" w:rsidRDefault="00A950D1" w:rsidP="003748BB">
            <w:pPr>
              <w:spacing w:before="100" w:beforeAutospacing="1" w:after="100" w:afterAutospacing="1"/>
              <w:rPr>
                <w:rFonts w:ascii="Arial" w:eastAsia="Times New Roman" w:hAnsi="Arial" w:cs="Arial"/>
                <w:b/>
                <w:color w:val="333333"/>
              </w:rPr>
            </w:pPr>
            <w:r>
              <w:rPr>
                <w:rFonts w:ascii="Arial" w:eastAsia="Times New Roman" w:hAnsi="Arial" w:cs="Arial"/>
                <w:b/>
                <w:color w:val="333333"/>
              </w:rPr>
              <w:t>Component</w:t>
            </w:r>
          </w:p>
        </w:tc>
        <w:tc>
          <w:tcPr>
            <w:tcW w:w="1748" w:type="dxa"/>
          </w:tcPr>
          <w:p w14:paraId="5435C902" w14:textId="383B1C0D" w:rsidR="00A950D1" w:rsidRPr="00A950D1" w:rsidRDefault="00A950D1" w:rsidP="003748BB">
            <w:pPr>
              <w:spacing w:before="100" w:beforeAutospacing="1" w:after="100" w:afterAutospacing="1"/>
              <w:rPr>
                <w:rFonts w:ascii="Arial" w:eastAsia="Times New Roman" w:hAnsi="Arial" w:cs="Arial"/>
                <w:b/>
                <w:color w:val="333333"/>
              </w:rPr>
            </w:pPr>
            <w:r w:rsidRPr="00A950D1">
              <w:rPr>
                <w:rFonts w:ascii="Arial" w:eastAsia="Times New Roman" w:hAnsi="Arial" w:cs="Arial"/>
                <w:b/>
                <w:color w:val="333333"/>
              </w:rPr>
              <w:t xml:space="preserve">New </w:t>
            </w:r>
            <w:r w:rsidR="0000446F">
              <w:rPr>
                <w:rFonts w:ascii="Arial" w:eastAsia="Times New Roman" w:hAnsi="Arial" w:cs="Arial"/>
                <w:b/>
                <w:color w:val="333333"/>
              </w:rPr>
              <w:t>B</w:t>
            </w:r>
            <w:r w:rsidRPr="00A950D1">
              <w:rPr>
                <w:rFonts w:ascii="Arial" w:eastAsia="Times New Roman" w:hAnsi="Arial" w:cs="Arial"/>
                <w:b/>
                <w:color w:val="333333"/>
              </w:rPr>
              <w:t>uild</w:t>
            </w:r>
          </w:p>
        </w:tc>
        <w:tc>
          <w:tcPr>
            <w:tcW w:w="1697" w:type="dxa"/>
          </w:tcPr>
          <w:p w14:paraId="2E6D2220" w14:textId="77777777" w:rsidR="00A950D1" w:rsidRPr="00A950D1" w:rsidRDefault="00A950D1" w:rsidP="003748BB">
            <w:pPr>
              <w:spacing w:before="100" w:beforeAutospacing="1" w:after="100" w:afterAutospacing="1"/>
              <w:rPr>
                <w:rFonts w:ascii="Arial" w:eastAsia="Times New Roman" w:hAnsi="Arial" w:cs="Arial"/>
                <w:b/>
                <w:color w:val="333333"/>
              </w:rPr>
            </w:pPr>
            <w:r w:rsidRPr="00A950D1">
              <w:rPr>
                <w:rFonts w:ascii="Arial" w:eastAsia="Times New Roman" w:hAnsi="Arial" w:cs="Arial"/>
                <w:b/>
                <w:color w:val="333333"/>
              </w:rPr>
              <w:t>Retrofit</w:t>
            </w:r>
          </w:p>
        </w:tc>
        <w:tc>
          <w:tcPr>
            <w:tcW w:w="1786" w:type="dxa"/>
          </w:tcPr>
          <w:p w14:paraId="2BC2FBA5" w14:textId="77777777" w:rsidR="00A950D1" w:rsidRPr="00A950D1" w:rsidRDefault="00A950D1" w:rsidP="003748BB">
            <w:pPr>
              <w:spacing w:before="100" w:beforeAutospacing="1" w:after="100" w:afterAutospacing="1"/>
              <w:rPr>
                <w:rFonts w:ascii="Arial" w:eastAsia="Times New Roman" w:hAnsi="Arial" w:cs="Arial"/>
                <w:b/>
                <w:color w:val="333333"/>
              </w:rPr>
            </w:pPr>
            <w:r w:rsidRPr="00A950D1">
              <w:rPr>
                <w:rFonts w:ascii="Arial" w:eastAsia="Times New Roman" w:hAnsi="Arial" w:cs="Arial"/>
                <w:b/>
                <w:color w:val="333333"/>
              </w:rPr>
              <w:t>Utility/Site</w:t>
            </w:r>
          </w:p>
        </w:tc>
        <w:tc>
          <w:tcPr>
            <w:tcW w:w="1562" w:type="dxa"/>
          </w:tcPr>
          <w:p w14:paraId="723CB07F" w14:textId="77777777" w:rsidR="00A950D1" w:rsidRPr="00A950D1" w:rsidRDefault="00A950D1" w:rsidP="003748BB">
            <w:pPr>
              <w:spacing w:before="100" w:beforeAutospacing="1" w:after="100" w:afterAutospacing="1"/>
              <w:rPr>
                <w:rFonts w:ascii="Arial" w:eastAsia="Times New Roman" w:hAnsi="Arial" w:cs="Arial"/>
                <w:b/>
                <w:color w:val="333333"/>
              </w:rPr>
            </w:pPr>
            <w:r w:rsidRPr="00A950D1">
              <w:rPr>
                <w:rFonts w:ascii="Arial" w:eastAsia="Times New Roman" w:hAnsi="Arial" w:cs="Arial"/>
                <w:b/>
                <w:color w:val="333333"/>
              </w:rPr>
              <w:t>Field/Stadium</w:t>
            </w:r>
          </w:p>
        </w:tc>
      </w:tr>
      <w:tr w:rsidR="00A950D1" w14:paraId="6AE39476" w14:textId="77777777" w:rsidTr="00A950D1">
        <w:tc>
          <w:tcPr>
            <w:tcW w:w="2557" w:type="dxa"/>
          </w:tcPr>
          <w:p w14:paraId="037236BD"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Building shell</w:t>
            </w:r>
          </w:p>
        </w:tc>
        <w:tc>
          <w:tcPr>
            <w:tcW w:w="1748" w:type="dxa"/>
          </w:tcPr>
          <w:p w14:paraId="4FAA97C6"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40%</w:t>
            </w:r>
          </w:p>
        </w:tc>
        <w:tc>
          <w:tcPr>
            <w:tcW w:w="1697" w:type="dxa"/>
          </w:tcPr>
          <w:p w14:paraId="5E8D59B9"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6.5%</w:t>
            </w:r>
          </w:p>
        </w:tc>
        <w:tc>
          <w:tcPr>
            <w:tcW w:w="1786" w:type="dxa"/>
          </w:tcPr>
          <w:p w14:paraId="6FB80364"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0%</w:t>
            </w:r>
          </w:p>
        </w:tc>
        <w:tc>
          <w:tcPr>
            <w:tcW w:w="1562" w:type="dxa"/>
          </w:tcPr>
          <w:p w14:paraId="016716D5"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100%</w:t>
            </w:r>
          </w:p>
        </w:tc>
      </w:tr>
      <w:tr w:rsidR="00A950D1" w14:paraId="30F3C729" w14:textId="77777777" w:rsidTr="00A950D1">
        <w:tc>
          <w:tcPr>
            <w:tcW w:w="2557" w:type="dxa"/>
          </w:tcPr>
          <w:p w14:paraId="37C35DB8"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Building services and roofing</w:t>
            </w:r>
          </w:p>
        </w:tc>
        <w:tc>
          <w:tcPr>
            <w:tcW w:w="1748" w:type="dxa"/>
          </w:tcPr>
          <w:p w14:paraId="5CEF1B9B"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36.5%</w:t>
            </w:r>
          </w:p>
        </w:tc>
        <w:tc>
          <w:tcPr>
            <w:tcW w:w="1697" w:type="dxa"/>
          </w:tcPr>
          <w:p w14:paraId="5C02F940"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75.5%</w:t>
            </w:r>
          </w:p>
        </w:tc>
        <w:tc>
          <w:tcPr>
            <w:tcW w:w="1786" w:type="dxa"/>
          </w:tcPr>
          <w:p w14:paraId="7920F452"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100%</w:t>
            </w:r>
          </w:p>
        </w:tc>
        <w:tc>
          <w:tcPr>
            <w:tcW w:w="1562" w:type="dxa"/>
          </w:tcPr>
          <w:p w14:paraId="0049F976"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0%</w:t>
            </w:r>
          </w:p>
        </w:tc>
      </w:tr>
      <w:tr w:rsidR="00A950D1" w14:paraId="3271F553" w14:textId="77777777" w:rsidTr="00A950D1">
        <w:tc>
          <w:tcPr>
            <w:tcW w:w="2557" w:type="dxa"/>
          </w:tcPr>
          <w:p w14:paraId="132C3894"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Interior construction</w:t>
            </w:r>
          </w:p>
        </w:tc>
        <w:tc>
          <w:tcPr>
            <w:tcW w:w="1748" w:type="dxa"/>
          </w:tcPr>
          <w:p w14:paraId="22834EF9"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23.5%</w:t>
            </w:r>
          </w:p>
        </w:tc>
        <w:tc>
          <w:tcPr>
            <w:tcW w:w="1697" w:type="dxa"/>
          </w:tcPr>
          <w:p w14:paraId="22796BB1"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18%</w:t>
            </w:r>
          </w:p>
        </w:tc>
        <w:tc>
          <w:tcPr>
            <w:tcW w:w="1786" w:type="dxa"/>
          </w:tcPr>
          <w:p w14:paraId="272538D9"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0%</w:t>
            </w:r>
          </w:p>
        </w:tc>
        <w:tc>
          <w:tcPr>
            <w:tcW w:w="1562" w:type="dxa"/>
          </w:tcPr>
          <w:p w14:paraId="5A02A49D" w14:textId="77777777" w:rsidR="00A950D1" w:rsidRDefault="00A950D1" w:rsidP="003748BB">
            <w:pPr>
              <w:spacing w:before="100" w:beforeAutospacing="1" w:after="100" w:afterAutospacing="1"/>
              <w:rPr>
                <w:rFonts w:ascii="Arial" w:eastAsia="Times New Roman" w:hAnsi="Arial" w:cs="Arial"/>
                <w:color w:val="333333"/>
              </w:rPr>
            </w:pPr>
            <w:r>
              <w:rPr>
                <w:rFonts w:ascii="Arial" w:eastAsia="Times New Roman" w:hAnsi="Arial" w:cs="Arial"/>
                <w:color w:val="333333"/>
              </w:rPr>
              <w:t>0%</w:t>
            </w:r>
          </w:p>
        </w:tc>
      </w:tr>
    </w:tbl>
    <w:p w14:paraId="58DD4645" w14:textId="77777777" w:rsidR="00A950D1" w:rsidRDefault="00A950D1" w:rsidP="00F256C0">
      <w:pPr>
        <w:spacing w:before="65" w:after="65" w:line="240" w:lineRule="auto"/>
        <w:rPr>
          <w:rFonts w:ascii="Arial" w:eastAsia="Times New Roman" w:hAnsi="Arial" w:cs="Arial"/>
          <w:b/>
          <w:bCs/>
          <w:color w:val="333333"/>
        </w:rPr>
      </w:pPr>
      <w:bookmarkStart w:id="0" w:name="4431_-_Amortization"/>
    </w:p>
    <w:p w14:paraId="3BDDAC18" w14:textId="77777777" w:rsidR="00F256C0" w:rsidRPr="00912CF5" w:rsidRDefault="00F256C0" w:rsidP="00F256C0">
      <w:pPr>
        <w:spacing w:before="65" w:after="65" w:line="240" w:lineRule="auto"/>
        <w:rPr>
          <w:rFonts w:ascii="Arial" w:eastAsia="Times New Roman" w:hAnsi="Arial" w:cs="Arial"/>
          <w:b/>
          <w:bCs/>
          <w:color w:val="333333"/>
        </w:rPr>
      </w:pPr>
      <w:r w:rsidRPr="00912CF5">
        <w:rPr>
          <w:rFonts w:ascii="Arial" w:eastAsia="Times New Roman" w:hAnsi="Arial" w:cs="Arial"/>
          <w:b/>
          <w:bCs/>
          <w:color w:val="333333"/>
        </w:rPr>
        <w:t>Amortization</w:t>
      </w:r>
    </w:p>
    <w:p w14:paraId="421FE531" w14:textId="77777777" w:rsidR="00F256C0" w:rsidRPr="00047F27" w:rsidRDefault="00F256C0" w:rsidP="00F256C0">
      <w:pPr>
        <w:spacing w:before="65" w:after="65" w:line="240" w:lineRule="auto"/>
        <w:rPr>
          <w:rFonts w:ascii="Arial" w:eastAsia="Times New Roman" w:hAnsi="Arial" w:cs="Arial"/>
          <w:color w:val="333333"/>
        </w:rPr>
      </w:pPr>
      <w:bookmarkStart w:id="1" w:name="4431.16"/>
      <w:bookmarkEnd w:id="0"/>
      <w:r w:rsidRPr="00F256C0">
        <w:rPr>
          <w:rFonts w:ascii="Arial" w:eastAsia="Times New Roman" w:hAnsi="Arial" w:cs="Arial"/>
          <w:iCs/>
          <w:color w:val="333333"/>
        </w:rPr>
        <w:t xml:space="preserve">The cost, less any residual value, of </w:t>
      </w:r>
      <w:r>
        <w:rPr>
          <w:rFonts w:ascii="Arial" w:eastAsia="Times New Roman" w:hAnsi="Arial" w:cs="Arial"/>
          <w:iCs/>
          <w:color w:val="333333"/>
        </w:rPr>
        <w:t xml:space="preserve">a </w:t>
      </w:r>
      <w:r w:rsidRPr="00F256C0">
        <w:rPr>
          <w:rFonts w:ascii="Arial" w:eastAsia="Times New Roman" w:hAnsi="Arial" w:cs="Arial"/>
          <w:iCs/>
          <w:color w:val="333333"/>
        </w:rPr>
        <w:t xml:space="preserve">capital asset with a limited life </w:t>
      </w:r>
      <w:r>
        <w:rPr>
          <w:rFonts w:ascii="Arial" w:eastAsia="Times New Roman" w:hAnsi="Arial" w:cs="Arial"/>
          <w:iCs/>
          <w:color w:val="333333"/>
        </w:rPr>
        <w:t xml:space="preserve">will </w:t>
      </w:r>
      <w:r w:rsidRPr="00F256C0">
        <w:rPr>
          <w:rFonts w:ascii="Arial" w:eastAsia="Times New Roman" w:hAnsi="Arial" w:cs="Arial"/>
          <w:iCs/>
          <w:color w:val="333333"/>
        </w:rPr>
        <w:t xml:space="preserve">be amortized over its </w:t>
      </w:r>
      <w:r w:rsidRPr="00047F27">
        <w:rPr>
          <w:rFonts w:ascii="Arial" w:eastAsia="Times New Roman" w:hAnsi="Arial" w:cs="Arial"/>
          <w:color w:val="333333"/>
        </w:rPr>
        <w:t xml:space="preserve">useful life.   Assets are capitalized in the year of acquisition and amortized on a </w:t>
      </w:r>
      <w:proofErr w:type="gramStart"/>
      <w:r w:rsidRPr="00047F27">
        <w:rPr>
          <w:rFonts w:ascii="Arial" w:eastAsia="Times New Roman" w:hAnsi="Arial" w:cs="Arial"/>
          <w:color w:val="333333"/>
        </w:rPr>
        <w:t>straight line</w:t>
      </w:r>
      <w:proofErr w:type="gramEnd"/>
      <w:r w:rsidRPr="00047F27">
        <w:rPr>
          <w:rFonts w:ascii="Arial" w:eastAsia="Times New Roman" w:hAnsi="Arial" w:cs="Arial"/>
          <w:color w:val="333333"/>
        </w:rPr>
        <w:t xml:space="preserve"> basis over the useful life of the asset based on the following categories:</w:t>
      </w:r>
    </w:p>
    <w:p w14:paraId="5CA865C9" w14:textId="77777777" w:rsidR="00F256C0" w:rsidRPr="00047F27" w:rsidRDefault="00F256C0" w:rsidP="00F256C0">
      <w:pPr>
        <w:spacing w:before="65" w:after="65" w:line="240" w:lineRule="auto"/>
        <w:rPr>
          <w:rFonts w:ascii="Arial" w:eastAsia="Times New Roman" w:hAnsi="Arial" w:cs="Arial"/>
          <w:color w:val="333333"/>
        </w:rPr>
      </w:pPr>
    </w:p>
    <w:tbl>
      <w:tblPr>
        <w:tblStyle w:val="TableGrid"/>
        <w:tblW w:w="0" w:type="auto"/>
        <w:tblLook w:val="04A0" w:firstRow="1" w:lastRow="0" w:firstColumn="1" w:lastColumn="0" w:noHBand="0" w:noVBand="1"/>
      </w:tblPr>
      <w:tblGrid>
        <w:gridCol w:w="3964"/>
        <w:gridCol w:w="1454"/>
      </w:tblGrid>
      <w:tr w:rsidR="00577B0F" w14:paraId="3A387152" w14:textId="77777777" w:rsidTr="00435762">
        <w:tc>
          <w:tcPr>
            <w:tcW w:w="3964" w:type="dxa"/>
            <w:shd w:val="pct12" w:color="auto" w:fill="auto"/>
          </w:tcPr>
          <w:bookmarkEnd w:id="1"/>
          <w:p w14:paraId="4355B9D2" w14:textId="77777777" w:rsidR="00577B0F" w:rsidRPr="00A950D1" w:rsidRDefault="00577B0F" w:rsidP="00B634F8">
            <w:pPr>
              <w:spacing w:before="100" w:beforeAutospacing="1" w:after="100" w:afterAutospacing="1"/>
              <w:rPr>
                <w:rFonts w:ascii="Arial" w:eastAsia="Times New Roman" w:hAnsi="Arial" w:cs="Arial"/>
                <w:b/>
                <w:color w:val="333333"/>
                <w:highlight w:val="lightGray"/>
              </w:rPr>
            </w:pPr>
            <w:r w:rsidRPr="00A950D1">
              <w:rPr>
                <w:rFonts w:ascii="Arial" w:eastAsia="Times New Roman" w:hAnsi="Arial" w:cs="Arial"/>
                <w:b/>
                <w:color w:val="333333"/>
                <w:highlight w:val="lightGray"/>
              </w:rPr>
              <w:t>Asset</w:t>
            </w:r>
          </w:p>
        </w:tc>
        <w:tc>
          <w:tcPr>
            <w:tcW w:w="1454" w:type="dxa"/>
            <w:shd w:val="pct12" w:color="auto" w:fill="auto"/>
          </w:tcPr>
          <w:p w14:paraId="4AC6730C" w14:textId="77777777" w:rsidR="00577B0F" w:rsidRPr="00577B0F" w:rsidRDefault="00577B0F" w:rsidP="00B634F8">
            <w:pPr>
              <w:spacing w:before="100" w:beforeAutospacing="1" w:after="100" w:afterAutospacing="1"/>
              <w:rPr>
                <w:rFonts w:ascii="Arial" w:eastAsia="Times New Roman" w:hAnsi="Arial" w:cs="Arial"/>
                <w:b/>
                <w:color w:val="333333"/>
              </w:rPr>
            </w:pPr>
            <w:r w:rsidRPr="00A950D1">
              <w:rPr>
                <w:rFonts w:ascii="Arial" w:eastAsia="Times New Roman" w:hAnsi="Arial" w:cs="Arial"/>
                <w:b/>
                <w:color w:val="333333"/>
                <w:highlight w:val="lightGray"/>
              </w:rPr>
              <w:t>Useful Life (years)</w:t>
            </w:r>
          </w:p>
        </w:tc>
      </w:tr>
      <w:tr w:rsidR="00577B0F" w14:paraId="290570C0" w14:textId="77777777" w:rsidTr="00435762">
        <w:tc>
          <w:tcPr>
            <w:tcW w:w="3964" w:type="dxa"/>
          </w:tcPr>
          <w:p w14:paraId="22602817" w14:textId="77777777" w:rsidR="00577B0F" w:rsidRDefault="00577B0F"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Buildings</w:t>
            </w:r>
            <w:r w:rsidR="00435762">
              <w:rPr>
                <w:rFonts w:ascii="Arial" w:eastAsia="Times New Roman" w:hAnsi="Arial" w:cs="Arial"/>
                <w:color w:val="333333"/>
              </w:rPr>
              <w:t xml:space="preserve"> and their components</w:t>
            </w:r>
          </w:p>
        </w:tc>
        <w:tc>
          <w:tcPr>
            <w:tcW w:w="1454" w:type="dxa"/>
          </w:tcPr>
          <w:p w14:paraId="5DEEB0E7" w14:textId="77777777" w:rsidR="00577B0F" w:rsidRDefault="00066837"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15-40</w:t>
            </w:r>
          </w:p>
        </w:tc>
      </w:tr>
      <w:tr w:rsidR="00577B0F" w14:paraId="432BDCE0" w14:textId="77777777" w:rsidTr="00435762">
        <w:tc>
          <w:tcPr>
            <w:tcW w:w="3964" w:type="dxa"/>
          </w:tcPr>
          <w:p w14:paraId="6F22065C" w14:textId="77777777" w:rsidR="00577B0F" w:rsidRDefault="00577B0F"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Equipment and furnishings</w:t>
            </w:r>
          </w:p>
        </w:tc>
        <w:tc>
          <w:tcPr>
            <w:tcW w:w="1454" w:type="dxa"/>
          </w:tcPr>
          <w:p w14:paraId="075AD862" w14:textId="77777777" w:rsidR="00577B0F" w:rsidRDefault="00577B0F"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5</w:t>
            </w:r>
          </w:p>
        </w:tc>
      </w:tr>
      <w:tr w:rsidR="00577B0F" w14:paraId="39D3A7DC" w14:textId="77777777" w:rsidTr="00435762">
        <w:tc>
          <w:tcPr>
            <w:tcW w:w="3964" w:type="dxa"/>
          </w:tcPr>
          <w:p w14:paraId="04C55CD6" w14:textId="77777777" w:rsidR="00577B0F" w:rsidRDefault="00577B0F"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Intangible assets</w:t>
            </w:r>
          </w:p>
        </w:tc>
        <w:tc>
          <w:tcPr>
            <w:tcW w:w="1454" w:type="dxa"/>
          </w:tcPr>
          <w:p w14:paraId="228740F4" w14:textId="77777777" w:rsidR="00577B0F" w:rsidRDefault="00577B0F"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5</w:t>
            </w:r>
          </w:p>
        </w:tc>
      </w:tr>
      <w:tr w:rsidR="00577B0F" w14:paraId="2871B0E8" w14:textId="77777777" w:rsidTr="00435762">
        <w:tc>
          <w:tcPr>
            <w:tcW w:w="3964" w:type="dxa"/>
          </w:tcPr>
          <w:p w14:paraId="07DB66E3" w14:textId="77777777" w:rsidR="00577B0F" w:rsidRDefault="00577B0F" w:rsidP="00577B0F">
            <w:pPr>
              <w:spacing w:before="100" w:beforeAutospacing="1" w:after="100" w:afterAutospacing="1"/>
              <w:rPr>
                <w:rFonts w:ascii="Arial" w:eastAsia="Times New Roman" w:hAnsi="Arial" w:cs="Arial"/>
                <w:color w:val="333333"/>
              </w:rPr>
            </w:pPr>
            <w:r>
              <w:rPr>
                <w:rFonts w:ascii="Arial" w:eastAsia="Times New Roman" w:hAnsi="Arial" w:cs="Arial"/>
                <w:color w:val="333333"/>
              </w:rPr>
              <w:t>Library books</w:t>
            </w:r>
          </w:p>
        </w:tc>
        <w:tc>
          <w:tcPr>
            <w:tcW w:w="1454" w:type="dxa"/>
          </w:tcPr>
          <w:p w14:paraId="0706BC47" w14:textId="77777777" w:rsidR="00577B0F" w:rsidRDefault="00577B0F"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5</w:t>
            </w:r>
          </w:p>
        </w:tc>
      </w:tr>
      <w:tr w:rsidR="00577B0F" w14:paraId="0E1358DB" w14:textId="77777777" w:rsidTr="00435762">
        <w:tc>
          <w:tcPr>
            <w:tcW w:w="3964" w:type="dxa"/>
          </w:tcPr>
          <w:p w14:paraId="2C9C8834" w14:textId="77777777" w:rsidR="00577B0F" w:rsidRDefault="00577B0F"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Leasehold improvements</w:t>
            </w:r>
          </w:p>
        </w:tc>
        <w:tc>
          <w:tcPr>
            <w:tcW w:w="1454" w:type="dxa"/>
          </w:tcPr>
          <w:p w14:paraId="0C21F727" w14:textId="77777777" w:rsidR="00577B0F" w:rsidRDefault="00577B0F"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Term of lease</w:t>
            </w:r>
          </w:p>
        </w:tc>
      </w:tr>
    </w:tbl>
    <w:p w14:paraId="17447A31" w14:textId="77777777" w:rsidR="00A950D1" w:rsidRDefault="00A950D1" w:rsidP="00B634F8">
      <w:pPr>
        <w:spacing w:before="100" w:beforeAutospacing="1" w:after="100" w:afterAutospacing="1" w:line="240" w:lineRule="auto"/>
        <w:rPr>
          <w:rFonts w:ascii="Arial" w:eastAsia="Times New Roman" w:hAnsi="Arial" w:cs="Arial"/>
          <w:color w:val="333333"/>
        </w:rPr>
      </w:pPr>
    </w:p>
    <w:p w14:paraId="391058DB" w14:textId="77777777" w:rsidR="00435762" w:rsidRDefault="00435762" w:rsidP="00B634F8">
      <w:pPr>
        <w:spacing w:before="100" w:beforeAutospacing="1" w:after="100" w:afterAutospacing="1" w:line="240" w:lineRule="auto"/>
        <w:rPr>
          <w:rFonts w:ascii="Arial" w:eastAsia="Times New Roman" w:hAnsi="Arial" w:cs="Arial"/>
          <w:color w:val="333333"/>
        </w:rPr>
      </w:pPr>
    </w:p>
    <w:tbl>
      <w:tblPr>
        <w:tblStyle w:val="TableGrid"/>
        <w:tblW w:w="0" w:type="auto"/>
        <w:tblLook w:val="04A0" w:firstRow="1" w:lastRow="0" w:firstColumn="1" w:lastColumn="0" w:noHBand="0" w:noVBand="1"/>
      </w:tblPr>
      <w:tblGrid>
        <w:gridCol w:w="2547"/>
        <w:gridCol w:w="2410"/>
      </w:tblGrid>
      <w:tr w:rsidR="00A950D1" w:rsidRPr="00A950D1" w14:paraId="2F4D0A06" w14:textId="77777777" w:rsidTr="00435762">
        <w:tc>
          <w:tcPr>
            <w:tcW w:w="2547" w:type="dxa"/>
          </w:tcPr>
          <w:p w14:paraId="432DA618" w14:textId="77777777" w:rsidR="00A950D1" w:rsidRPr="00A950D1" w:rsidRDefault="00A950D1" w:rsidP="00B634F8">
            <w:pPr>
              <w:spacing w:before="100" w:beforeAutospacing="1" w:after="100" w:afterAutospacing="1"/>
              <w:rPr>
                <w:rFonts w:ascii="Arial" w:eastAsia="Times New Roman" w:hAnsi="Arial" w:cs="Arial"/>
                <w:b/>
                <w:color w:val="333333"/>
                <w:highlight w:val="lightGray"/>
              </w:rPr>
            </w:pPr>
            <w:r w:rsidRPr="00A950D1">
              <w:rPr>
                <w:rFonts w:ascii="Arial" w:eastAsia="Times New Roman" w:hAnsi="Arial" w:cs="Arial"/>
                <w:b/>
                <w:color w:val="333333"/>
                <w:highlight w:val="lightGray"/>
              </w:rPr>
              <w:t>Building components</w:t>
            </w:r>
          </w:p>
        </w:tc>
        <w:tc>
          <w:tcPr>
            <w:tcW w:w="2410" w:type="dxa"/>
          </w:tcPr>
          <w:p w14:paraId="4949CD12" w14:textId="77777777" w:rsidR="00A950D1" w:rsidRPr="00A950D1" w:rsidRDefault="00A950D1" w:rsidP="00B634F8">
            <w:pPr>
              <w:spacing w:before="100" w:beforeAutospacing="1" w:after="100" w:afterAutospacing="1"/>
              <w:rPr>
                <w:rFonts w:ascii="Arial" w:eastAsia="Times New Roman" w:hAnsi="Arial" w:cs="Arial"/>
                <w:b/>
                <w:color w:val="333333"/>
              </w:rPr>
            </w:pPr>
            <w:r w:rsidRPr="00A950D1">
              <w:rPr>
                <w:rFonts w:ascii="Arial" w:eastAsia="Times New Roman" w:hAnsi="Arial" w:cs="Arial"/>
                <w:b/>
                <w:color w:val="333333"/>
                <w:highlight w:val="lightGray"/>
              </w:rPr>
              <w:t>Useful life (years)</w:t>
            </w:r>
          </w:p>
        </w:tc>
      </w:tr>
      <w:tr w:rsidR="00A950D1" w14:paraId="36508B11" w14:textId="77777777" w:rsidTr="00435762">
        <w:tc>
          <w:tcPr>
            <w:tcW w:w="2547" w:type="dxa"/>
          </w:tcPr>
          <w:p w14:paraId="398663E5" w14:textId="77777777" w:rsidR="00A950D1" w:rsidRDefault="00A950D1"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Building shell</w:t>
            </w:r>
          </w:p>
        </w:tc>
        <w:tc>
          <w:tcPr>
            <w:tcW w:w="2410" w:type="dxa"/>
          </w:tcPr>
          <w:p w14:paraId="73B30841" w14:textId="77777777" w:rsidR="00A950D1" w:rsidRDefault="00A950D1"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40</w:t>
            </w:r>
          </w:p>
        </w:tc>
      </w:tr>
      <w:tr w:rsidR="00A950D1" w14:paraId="21AFBC14" w14:textId="77777777" w:rsidTr="00435762">
        <w:tc>
          <w:tcPr>
            <w:tcW w:w="2547" w:type="dxa"/>
          </w:tcPr>
          <w:p w14:paraId="4AF3E2EB" w14:textId="77777777" w:rsidR="00A950D1" w:rsidRDefault="00A950D1"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Building services and roofing</w:t>
            </w:r>
          </w:p>
        </w:tc>
        <w:tc>
          <w:tcPr>
            <w:tcW w:w="2410" w:type="dxa"/>
          </w:tcPr>
          <w:p w14:paraId="09551FC0" w14:textId="77777777" w:rsidR="00A950D1" w:rsidRDefault="00A950D1"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25</w:t>
            </w:r>
          </w:p>
        </w:tc>
      </w:tr>
      <w:tr w:rsidR="00A950D1" w14:paraId="1EDE9868" w14:textId="77777777" w:rsidTr="00435762">
        <w:tc>
          <w:tcPr>
            <w:tcW w:w="2547" w:type="dxa"/>
          </w:tcPr>
          <w:p w14:paraId="6DCF0F00" w14:textId="77777777" w:rsidR="00A950D1" w:rsidRDefault="00A950D1"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Interior construction</w:t>
            </w:r>
          </w:p>
        </w:tc>
        <w:tc>
          <w:tcPr>
            <w:tcW w:w="2410" w:type="dxa"/>
          </w:tcPr>
          <w:p w14:paraId="3B7F54A2" w14:textId="77777777" w:rsidR="00A950D1" w:rsidRDefault="00A950D1" w:rsidP="00B634F8">
            <w:pPr>
              <w:spacing w:before="100" w:beforeAutospacing="1" w:after="100" w:afterAutospacing="1"/>
              <w:rPr>
                <w:rFonts w:ascii="Arial" w:eastAsia="Times New Roman" w:hAnsi="Arial" w:cs="Arial"/>
                <w:color w:val="333333"/>
              </w:rPr>
            </w:pPr>
            <w:r>
              <w:rPr>
                <w:rFonts w:ascii="Arial" w:eastAsia="Times New Roman" w:hAnsi="Arial" w:cs="Arial"/>
                <w:color w:val="333333"/>
              </w:rPr>
              <w:t>15</w:t>
            </w:r>
          </w:p>
        </w:tc>
      </w:tr>
    </w:tbl>
    <w:p w14:paraId="222DB2C8" w14:textId="77777777" w:rsidR="00FB5F4E" w:rsidRDefault="00047F27" w:rsidP="00B634F8">
      <w:pPr>
        <w:spacing w:before="100" w:beforeAutospacing="1" w:after="100" w:afterAutospacing="1" w:line="240" w:lineRule="auto"/>
        <w:rPr>
          <w:rFonts w:ascii="Arial" w:eastAsia="Times New Roman" w:hAnsi="Arial" w:cs="Arial"/>
          <w:color w:val="333333"/>
        </w:rPr>
      </w:pPr>
      <w:r w:rsidRPr="00047F27">
        <w:rPr>
          <w:rFonts w:ascii="Arial" w:eastAsia="Times New Roman" w:hAnsi="Arial" w:cs="Arial"/>
          <w:color w:val="333333"/>
        </w:rPr>
        <w:t>A</w:t>
      </w:r>
      <w:r w:rsidR="00F256C0" w:rsidRPr="00047F27">
        <w:rPr>
          <w:rFonts w:ascii="Arial" w:eastAsia="Times New Roman" w:hAnsi="Arial" w:cs="Arial"/>
          <w:color w:val="333333"/>
        </w:rPr>
        <w:t xml:space="preserve"> full year</w:t>
      </w:r>
      <w:r w:rsidRPr="00047F27">
        <w:rPr>
          <w:rFonts w:ascii="Arial" w:eastAsia="Times New Roman" w:hAnsi="Arial" w:cs="Arial"/>
          <w:color w:val="333333"/>
        </w:rPr>
        <w:t xml:space="preserve"> of amortization is taken</w:t>
      </w:r>
      <w:r w:rsidR="00F256C0" w:rsidRPr="00047F27">
        <w:rPr>
          <w:rFonts w:ascii="Arial" w:eastAsia="Times New Roman" w:hAnsi="Arial" w:cs="Arial"/>
          <w:color w:val="333333"/>
        </w:rPr>
        <w:t xml:space="preserve"> in the year the asset is </w:t>
      </w:r>
      <w:r w:rsidRPr="00047F27">
        <w:rPr>
          <w:rFonts w:ascii="Arial" w:eastAsia="Times New Roman" w:hAnsi="Arial" w:cs="Arial"/>
          <w:color w:val="333333"/>
        </w:rPr>
        <w:t>put into use.</w:t>
      </w:r>
      <w:r w:rsidR="00667F29">
        <w:rPr>
          <w:rFonts w:ascii="Arial" w:eastAsia="Times New Roman" w:hAnsi="Arial" w:cs="Arial"/>
          <w:color w:val="333333"/>
        </w:rPr>
        <w:t xml:space="preserve"> In the year of disposal, no amortization is taken.</w:t>
      </w:r>
    </w:p>
    <w:p w14:paraId="4E3059CE" w14:textId="77777777" w:rsidR="00362D8F" w:rsidRDefault="00362D8F" w:rsidP="00B634F8">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 xml:space="preserve">Fully </w:t>
      </w:r>
      <w:r w:rsidR="002C2889">
        <w:rPr>
          <w:rFonts w:ascii="Arial" w:eastAsia="Times New Roman" w:hAnsi="Arial" w:cs="Arial"/>
          <w:color w:val="333333"/>
        </w:rPr>
        <w:t>amortized</w:t>
      </w:r>
      <w:r>
        <w:rPr>
          <w:rFonts w:ascii="Arial" w:eastAsia="Times New Roman" w:hAnsi="Arial" w:cs="Arial"/>
          <w:color w:val="333333"/>
        </w:rPr>
        <w:t xml:space="preserve"> assets are written off as follows:</w:t>
      </w:r>
    </w:p>
    <w:p w14:paraId="2FF201B0" w14:textId="77777777" w:rsidR="00362D8F" w:rsidRDefault="00362D8F" w:rsidP="00B634F8">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Library books:  After 20 years</w:t>
      </w:r>
    </w:p>
    <w:p w14:paraId="72378C35" w14:textId="77777777" w:rsidR="00362D8F" w:rsidRDefault="00362D8F" w:rsidP="00B634F8">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 xml:space="preserve">Equipment and Furnishings:  </w:t>
      </w:r>
      <w:r w:rsidR="00577B0F">
        <w:rPr>
          <w:rFonts w:ascii="Arial" w:eastAsia="Times New Roman" w:hAnsi="Arial" w:cs="Arial"/>
          <w:color w:val="333333"/>
        </w:rPr>
        <w:t xml:space="preserve">After </w:t>
      </w:r>
      <w:r w:rsidR="00667F29">
        <w:rPr>
          <w:rFonts w:ascii="Arial" w:eastAsia="Times New Roman" w:hAnsi="Arial" w:cs="Arial"/>
          <w:color w:val="333333"/>
        </w:rPr>
        <w:t>10</w:t>
      </w:r>
      <w:r w:rsidR="00577B0F">
        <w:rPr>
          <w:rFonts w:ascii="Arial" w:eastAsia="Times New Roman" w:hAnsi="Arial" w:cs="Arial"/>
          <w:color w:val="333333"/>
        </w:rPr>
        <w:t xml:space="preserve"> years</w:t>
      </w:r>
    </w:p>
    <w:p w14:paraId="580AD433" w14:textId="77777777" w:rsidR="00667F29" w:rsidRDefault="00667F29" w:rsidP="00B634F8">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Software/Intangible Assets: After asset is no longer in use</w:t>
      </w:r>
    </w:p>
    <w:p w14:paraId="327B879D" w14:textId="77777777" w:rsidR="00731D8B" w:rsidRDefault="00667F29" w:rsidP="00B634F8">
      <w:pPr>
        <w:spacing w:before="100" w:beforeAutospacing="1" w:after="100" w:afterAutospacing="1" w:line="240" w:lineRule="auto"/>
        <w:rPr>
          <w:rFonts w:ascii="Arial" w:eastAsia="Times New Roman" w:hAnsi="Arial" w:cs="Arial"/>
          <w:color w:val="333333"/>
        </w:rPr>
      </w:pPr>
      <w:r w:rsidRPr="002E4366">
        <w:rPr>
          <w:rFonts w:ascii="Arial" w:eastAsia="Times New Roman" w:hAnsi="Arial" w:cs="Arial"/>
          <w:color w:val="333333"/>
        </w:rPr>
        <w:t xml:space="preserve">Leasehold Improvements: </w:t>
      </w:r>
      <w:r w:rsidR="002E4366" w:rsidRPr="002E4366">
        <w:rPr>
          <w:rFonts w:ascii="Arial" w:eastAsia="Times New Roman" w:hAnsi="Arial" w:cs="Arial"/>
          <w:color w:val="333333"/>
        </w:rPr>
        <w:t>End of the lease</w:t>
      </w:r>
    </w:p>
    <w:p w14:paraId="480E58C4" w14:textId="77777777" w:rsidR="00816A98" w:rsidRDefault="00816A98" w:rsidP="00B634F8">
      <w:pPr>
        <w:spacing w:before="100" w:beforeAutospacing="1" w:after="100" w:afterAutospacing="1" w:line="240" w:lineRule="auto"/>
        <w:rPr>
          <w:rFonts w:ascii="Arial" w:eastAsia="Times New Roman" w:hAnsi="Arial" w:cs="Arial"/>
          <w:b/>
          <w:color w:val="333333"/>
        </w:rPr>
      </w:pPr>
      <w:r>
        <w:rPr>
          <w:rFonts w:ascii="Arial" w:eastAsia="Times New Roman" w:hAnsi="Arial" w:cs="Arial"/>
          <w:b/>
          <w:color w:val="333333"/>
        </w:rPr>
        <w:t>Other Information</w:t>
      </w:r>
    </w:p>
    <w:p w14:paraId="23587346" w14:textId="77777777" w:rsidR="00D614B4" w:rsidRDefault="00D614B4" w:rsidP="00B634F8">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Since Board approval is required for projects over $5M, assume all projects over this threshold will be capitalized when the work is done to a single building.</w:t>
      </w:r>
    </w:p>
    <w:p w14:paraId="134AF97B" w14:textId="191EBE75" w:rsidR="00D614B4" w:rsidRDefault="00D614B4" w:rsidP="00B634F8">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 xml:space="preserve">Projects </w:t>
      </w:r>
      <w:r w:rsidR="00947D23">
        <w:rPr>
          <w:rFonts w:ascii="Arial" w:eastAsia="Times New Roman" w:hAnsi="Arial" w:cs="Arial"/>
          <w:color w:val="333333"/>
        </w:rPr>
        <w:t>between</w:t>
      </w:r>
      <w:r>
        <w:rPr>
          <w:rFonts w:ascii="Arial" w:eastAsia="Times New Roman" w:hAnsi="Arial" w:cs="Arial"/>
          <w:color w:val="333333"/>
        </w:rPr>
        <w:t xml:space="preserve"> $2.5</w:t>
      </w:r>
      <w:r w:rsidR="00947D23">
        <w:rPr>
          <w:rFonts w:ascii="Arial" w:eastAsia="Times New Roman" w:hAnsi="Arial" w:cs="Arial"/>
          <w:color w:val="333333"/>
        </w:rPr>
        <w:t>-5</w:t>
      </w:r>
      <w:r>
        <w:rPr>
          <w:rFonts w:ascii="Arial" w:eastAsia="Times New Roman" w:hAnsi="Arial" w:cs="Arial"/>
          <w:color w:val="333333"/>
        </w:rPr>
        <w:t xml:space="preserve">M </w:t>
      </w:r>
      <w:r w:rsidR="00947D23">
        <w:rPr>
          <w:rFonts w:ascii="Arial" w:eastAsia="Times New Roman" w:hAnsi="Arial" w:cs="Arial"/>
          <w:color w:val="333333"/>
        </w:rPr>
        <w:t xml:space="preserve">are normally capitalized, as they require </w:t>
      </w:r>
      <w:r w:rsidR="00756579">
        <w:rPr>
          <w:rFonts w:ascii="Arial" w:eastAsia="Times New Roman" w:hAnsi="Arial" w:cs="Arial"/>
          <w:color w:val="333333"/>
        </w:rPr>
        <w:t>S</w:t>
      </w:r>
      <w:r w:rsidR="00947D23">
        <w:rPr>
          <w:rFonts w:ascii="Arial" w:eastAsia="Times New Roman" w:hAnsi="Arial" w:cs="Arial"/>
          <w:color w:val="333333"/>
        </w:rPr>
        <w:t xml:space="preserve">enior </w:t>
      </w:r>
      <w:r w:rsidR="00756579">
        <w:rPr>
          <w:rFonts w:ascii="Arial" w:eastAsia="Times New Roman" w:hAnsi="Arial" w:cs="Arial"/>
          <w:color w:val="333333"/>
        </w:rPr>
        <w:t>L</w:t>
      </w:r>
      <w:r w:rsidR="00947D23">
        <w:rPr>
          <w:rFonts w:ascii="Arial" w:eastAsia="Times New Roman" w:hAnsi="Arial" w:cs="Arial"/>
          <w:color w:val="333333"/>
        </w:rPr>
        <w:t xml:space="preserve">eadership </w:t>
      </w:r>
      <w:r w:rsidR="00756579">
        <w:rPr>
          <w:rFonts w:ascii="Arial" w:eastAsia="Times New Roman" w:hAnsi="Arial" w:cs="Arial"/>
          <w:color w:val="333333"/>
        </w:rPr>
        <w:t>Team (SLT)</w:t>
      </w:r>
      <w:r w:rsidR="00947D23">
        <w:rPr>
          <w:rFonts w:ascii="Arial" w:eastAsia="Times New Roman" w:hAnsi="Arial" w:cs="Arial"/>
          <w:color w:val="333333"/>
        </w:rPr>
        <w:t xml:space="preserve"> approval but are reviewed on an individual basis. Projects under $2.5M </w:t>
      </w:r>
      <w:r w:rsidR="00771E0F">
        <w:rPr>
          <w:rFonts w:ascii="Arial" w:eastAsia="Times New Roman" w:hAnsi="Arial" w:cs="Arial"/>
          <w:color w:val="333333"/>
        </w:rPr>
        <w:t xml:space="preserve">and above the minimum threshold of $500,000 </w:t>
      </w:r>
      <w:r>
        <w:rPr>
          <w:rFonts w:ascii="Arial" w:eastAsia="Times New Roman" w:hAnsi="Arial" w:cs="Arial"/>
          <w:color w:val="333333"/>
        </w:rPr>
        <w:t xml:space="preserve">can still be </w:t>
      </w:r>
      <w:proofErr w:type="gramStart"/>
      <w:r>
        <w:rPr>
          <w:rFonts w:ascii="Arial" w:eastAsia="Times New Roman" w:hAnsi="Arial" w:cs="Arial"/>
          <w:color w:val="333333"/>
        </w:rPr>
        <w:t>capitalized, but</w:t>
      </w:r>
      <w:proofErr w:type="gramEnd"/>
      <w:r>
        <w:rPr>
          <w:rFonts w:ascii="Arial" w:eastAsia="Times New Roman" w:hAnsi="Arial" w:cs="Arial"/>
          <w:color w:val="333333"/>
        </w:rPr>
        <w:t xml:space="preserve"> would require </w:t>
      </w:r>
      <w:r w:rsidR="008A570A">
        <w:rPr>
          <w:rFonts w:ascii="Arial" w:eastAsia="Times New Roman" w:hAnsi="Arial" w:cs="Arial"/>
          <w:color w:val="333333"/>
        </w:rPr>
        <w:t>substantial evidence that it is a betterment to the entire building or building a new building. Renovations such as r</w:t>
      </w:r>
      <w:r>
        <w:rPr>
          <w:rFonts w:ascii="Arial" w:eastAsia="Times New Roman" w:hAnsi="Arial" w:cs="Arial"/>
          <w:color w:val="333333"/>
        </w:rPr>
        <w:t xml:space="preserve">evitalizing </w:t>
      </w:r>
      <w:r w:rsidR="008A570A">
        <w:rPr>
          <w:rFonts w:ascii="Arial" w:eastAsia="Times New Roman" w:hAnsi="Arial" w:cs="Arial"/>
          <w:color w:val="333333"/>
        </w:rPr>
        <w:t xml:space="preserve">1 full </w:t>
      </w:r>
      <w:r>
        <w:rPr>
          <w:rFonts w:ascii="Arial" w:eastAsia="Times New Roman" w:hAnsi="Arial" w:cs="Arial"/>
          <w:color w:val="333333"/>
        </w:rPr>
        <w:t>floor will no longer</w:t>
      </w:r>
      <w:r w:rsidR="008A570A">
        <w:rPr>
          <w:rFonts w:ascii="Arial" w:eastAsia="Times New Roman" w:hAnsi="Arial" w:cs="Arial"/>
          <w:color w:val="333333"/>
        </w:rPr>
        <w:t xml:space="preserve"> be reviewed for capitalization as it is not done to the entire building.</w:t>
      </w:r>
    </w:p>
    <w:p w14:paraId="3E51AE3D" w14:textId="77777777" w:rsidR="008A570A" w:rsidRDefault="008A570A" w:rsidP="00B634F8">
      <w:pPr>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Projects where HVAC systems are replaced in the entire building would be R&amp;A projects, as the equipment portion will be picked up via 614xxx account process.</w:t>
      </w:r>
    </w:p>
    <w:p w14:paraId="5E9629BC" w14:textId="77777777" w:rsidR="00816A98" w:rsidRDefault="00816A98" w:rsidP="00B634F8">
      <w:pPr>
        <w:spacing w:before="100" w:beforeAutospacing="1" w:after="100" w:afterAutospacing="1" w:line="240" w:lineRule="auto"/>
        <w:rPr>
          <w:rFonts w:ascii="Arial" w:eastAsia="Times New Roman" w:hAnsi="Arial" w:cs="Arial"/>
          <w:color w:val="333333"/>
        </w:rPr>
      </w:pPr>
    </w:p>
    <w:p w14:paraId="41CBE764" w14:textId="77777777" w:rsidR="00816A98" w:rsidRPr="000A7CEF" w:rsidRDefault="00816A98" w:rsidP="00B634F8">
      <w:pPr>
        <w:spacing w:before="100" w:beforeAutospacing="1" w:after="100" w:afterAutospacing="1" w:line="240" w:lineRule="auto"/>
        <w:rPr>
          <w:rFonts w:ascii="Arial" w:eastAsia="Times New Roman" w:hAnsi="Arial" w:cs="Arial"/>
          <w:b/>
          <w:i/>
          <w:color w:val="333333"/>
        </w:rPr>
      </w:pPr>
      <w:r w:rsidRPr="000A7CEF">
        <w:rPr>
          <w:rFonts w:ascii="Arial" w:eastAsia="Times New Roman" w:hAnsi="Arial" w:cs="Arial"/>
          <w:b/>
          <w:i/>
          <w:color w:val="333333"/>
        </w:rPr>
        <w:t>Procedure Maintained By: Financial Analysis and Reporting</w:t>
      </w:r>
    </w:p>
    <w:p w14:paraId="4678B5DA" w14:textId="77777777" w:rsidR="00731D8B" w:rsidRPr="000A7CEF" w:rsidRDefault="00816A98" w:rsidP="00B634F8">
      <w:pPr>
        <w:spacing w:before="100" w:beforeAutospacing="1" w:after="100" w:afterAutospacing="1" w:line="240" w:lineRule="auto"/>
        <w:rPr>
          <w:rFonts w:ascii="Arial" w:eastAsia="Times New Roman" w:hAnsi="Arial" w:cs="Arial"/>
          <w:b/>
          <w:i/>
          <w:color w:val="333333"/>
        </w:rPr>
      </w:pPr>
      <w:r w:rsidRPr="000A7CEF">
        <w:rPr>
          <w:rFonts w:ascii="Arial" w:eastAsia="Times New Roman" w:hAnsi="Arial" w:cs="Arial"/>
          <w:b/>
          <w:i/>
          <w:color w:val="333333"/>
        </w:rPr>
        <w:t>Updated: June 2020</w:t>
      </w:r>
    </w:p>
    <w:sectPr w:rsidR="00731D8B" w:rsidRPr="000A7C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DBAB7" w14:textId="77777777" w:rsidR="00CF4237" w:rsidRDefault="00CF4237" w:rsidP="00C85BDB">
      <w:pPr>
        <w:spacing w:after="0" w:line="240" w:lineRule="auto"/>
      </w:pPr>
      <w:r>
        <w:separator/>
      </w:r>
    </w:p>
  </w:endnote>
  <w:endnote w:type="continuationSeparator" w:id="0">
    <w:p w14:paraId="442E0BA5" w14:textId="77777777" w:rsidR="00CF4237" w:rsidRDefault="00CF4237" w:rsidP="00C8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TT">
    <w:altName w:val="Courier New"/>
    <w:charset w:val="00"/>
    <w:family w:val="auto"/>
    <w:pitch w:val="variable"/>
    <w:sig w:usb0="00000087" w:usb1="00000000"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B030" w14:textId="77777777" w:rsidR="00F619B6" w:rsidRDefault="00F61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4F766" w14:textId="77777777" w:rsidR="00F619B6" w:rsidRDefault="00F61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C71ED" w14:textId="77777777" w:rsidR="00BC276C" w:rsidRDefault="00BC276C">
    <w:pPr>
      <w:pStyle w:val="Footer"/>
    </w:pPr>
    <w:r>
      <w:rPr>
        <w:noProof/>
      </w:rPr>
      <mc:AlternateContent>
        <mc:Choice Requires="wps">
          <w:drawing>
            <wp:anchor distT="0" distB="0" distL="114300" distR="114300" simplePos="0" relativeHeight="251657216" behindDoc="0" locked="1" layoutInCell="0" allowOverlap="1" wp14:anchorId="0B390969" wp14:editId="262ABD3D">
              <wp:simplePos x="0" y="0"/>
              <wp:positionH relativeFrom="page">
                <wp:posOffset>914400</wp:posOffset>
              </wp:positionH>
              <wp:positionV relativeFrom="page">
                <wp:posOffset>9601200</wp:posOffset>
              </wp:positionV>
              <wp:extent cx="6126480" cy="3657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65760"/>
                      </a:xfrm>
                      <a:prstGeom prst="rect">
                        <a:avLst/>
                      </a:prstGeom>
                      <a:noFill/>
                      <a:ln>
                        <a:noFill/>
                      </a:ln>
                      <a:extLst>
                        <a:ext uri="{909E8E84-426E-40DD-AFC4-6F175D3DCCD1}">
                          <a14:hiddenFill xmlns:a14="http://schemas.microsoft.com/office/drawing/2010/main">
                            <a:solidFill>
                              <a:srgbClr val="0033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A9A8F" w14:textId="77777777" w:rsidR="00BC276C" w:rsidRDefault="00BC276C">
                          <w:pPr>
                            <w:rPr>
                              <w:rFonts w:ascii="PalatinoTT" w:hAnsi="PalatinoTT"/>
                              <w:color w:val="000080"/>
                              <w:spacing w:val="104"/>
                              <w:sz w:val="14"/>
                            </w:rPr>
                          </w:pPr>
                          <w:r>
                            <w:rPr>
                              <w:rFonts w:ascii="PalatinoTT" w:hAnsi="PalatinoTT"/>
                              <w:color w:val="000080"/>
                              <w:spacing w:val="104"/>
                              <w:sz w:val="14"/>
                            </w:rPr>
                            <w:t>PREPARING LEADERS AND CITIZENS FOR A GLOBAL SOCIETY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FBFCB" id="_x0000_t202" coordsize="21600,21600" o:spt="202" path="m,l,21600r21600,l21600,xe">
              <v:stroke joinstyle="miter"/>
              <v:path gradientshapeok="t" o:connecttype="rect"/>
            </v:shapetype>
            <v:shape id="Text Box 6" o:spid="_x0000_s1026" type="#_x0000_t202" style="position:absolute;margin-left:1in;margin-top:756pt;width:482.4pt;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" o:allowincell="f" filled="f" fillcolor="#036" stroked="f">
              <v:textbox inset="0,0,0,0">
                <w:txbxContent>
                  <w:p w:rsidR="00BC276C" w:rsidRDefault="00BC276C">
                    <w:pPr>
                      <w:rPr>
                        <w:rFonts w:ascii="PalatinoTT" w:hAnsi="PalatinoTT"/>
                        <w:color w:val="000080"/>
                        <w:spacing w:val="104"/>
                        <w:sz w:val="14"/>
                      </w:rPr>
                    </w:pPr>
                    <w:r>
                      <w:rPr>
                        <w:rFonts w:ascii="PalatinoTT" w:hAnsi="PalatinoTT"/>
                        <w:color w:val="000080"/>
                        <w:spacing w:val="104"/>
                        <w:sz w:val="14"/>
                      </w:rPr>
                      <w:t>PREPARING LEADERS AND CITIZENS FOR A GLOBAL SOCIETY</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BFC83" w14:textId="77777777" w:rsidR="00CF4237" w:rsidRDefault="00CF4237" w:rsidP="00C85BDB">
      <w:pPr>
        <w:spacing w:after="0" w:line="240" w:lineRule="auto"/>
      </w:pPr>
      <w:r>
        <w:separator/>
      </w:r>
    </w:p>
  </w:footnote>
  <w:footnote w:type="continuationSeparator" w:id="0">
    <w:p w14:paraId="5ABD2FD7" w14:textId="77777777" w:rsidR="00CF4237" w:rsidRDefault="00CF4237" w:rsidP="00C85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FEF65" w14:textId="77777777" w:rsidR="00F619B6" w:rsidRDefault="00F61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4F61C" w14:textId="77777777" w:rsidR="00C85BDB" w:rsidRDefault="00C85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0409D" w14:textId="77777777" w:rsidR="00C85BDB" w:rsidRPr="009514C2" w:rsidRDefault="009514C2" w:rsidP="009514C2">
    <w:pPr>
      <w:pStyle w:val="Header"/>
      <w:tabs>
        <w:tab w:val="clear" w:pos="4680"/>
        <w:tab w:val="clear" w:pos="9360"/>
        <w:tab w:val="left" w:pos="8070"/>
      </w:tabs>
      <w:rPr>
        <w:b/>
      </w:rPr>
    </w:pPr>
    <w:r w:rsidRPr="009514C2">
      <w:rPr>
        <w:b/>
      </w:rPr>
      <w:tab/>
    </w:r>
  </w:p>
  <w:p w14:paraId="5C4BBCAC" w14:textId="77777777" w:rsidR="009514C2" w:rsidRDefault="009514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64DF0"/>
    <w:multiLevelType w:val="hybridMultilevel"/>
    <w:tmpl w:val="F7A058AC"/>
    <w:lvl w:ilvl="0" w:tplc="56BAA2C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B13B80"/>
    <w:multiLevelType w:val="multilevel"/>
    <w:tmpl w:val="DD74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B06C7"/>
    <w:multiLevelType w:val="hybridMultilevel"/>
    <w:tmpl w:val="4CF24A34"/>
    <w:lvl w:ilvl="0" w:tplc="56BAA2C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E30C8"/>
    <w:multiLevelType w:val="hybridMultilevel"/>
    <w:tmpl w:val="2A181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D69FB"/>
    <w:multiLevelType w:val="hybridMultilevel"/>
    <w:tmpl w:val="44A6FE30"/>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5" w15:restartNumberingAfterBreak="0">
    <w:nsid w:val="5C8233D1"/>
    <w:multiLevelType w:val="multilevel"/>
    <w:tmpl w:val="0EA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B21CC"/>
    <w:multiLevelType w:val="hybridMultilevel"/>
    <w:tmpl w:val="34D2D878"/>
    <w:lvl w:ilvl="0" w:tplc="FB92C4B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E9065C5"/>
    <w:multiLevelType w:val="multilevel"/>
    <w:tmpl w:val="078C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A1"/>
    <w:rsid w:val="0000446F"/>
    <w:rsid w:val="00047F27"/>
    <w:rsid w:val="00055ACA"/>
    <w:rsid w:val="00066837"/>
    <w:rsid w:val="000772C6"/>
    <w:rsid w:val="000A7CEF"/>
    <w:rsid w:val="000C6D8E"/>
    <w:rsid w:val="000F42E3"/>
    <w:rsid w:val="001022FA"/>
    <w:rsid w:val="00164531"/>
    <w:rsid w:val="0017658B"/>
    <w:rsid w:val="001E14A0"/>
    <w:rsid w:val="00206BD4"/>
    <w:rsid w:val="00243037"/>
    <w:rsid w:val="002C2889"/>
    <w:rsid w:val="002E4366"/>
    <w:rsid w:val="002F47F3"/>
    <w:rsid w:val="003605A1"/>
    <w:rsid w:val="00362D8F"/>
    <w:rsid w:val="003868B5"/>
    <w:rsid w:val="003B3002"/>
    <w:rsid w:val="00402D45"/>
    <w:rsid w:val="00435762"/>
    <w:rsid w:val="004525B5"/>
    <w:rsid w:val="004A0650"/>
    <w:rsid w:val="004E0FAF"/>
    <w:rsid w:val="00515678"/>
    <w:rsid w:val="0051671B"/>
    <w:rsid w:val="00577B0F"/>
    <w:rsid w:val="00582F2C"/>
    <w:rsid w:val="00667F29"/>
    <w:rsid w:val="00683509"/>
    <w:rsid w:val="00690038"/>
    <w:rsid w:val="006E1876"/>
    <w:rsid w:val="00704870"/>
    <w:rsid w:val="00731D8B"/>
    <w:rsid w:val="00756579"/>
    <w:rsid w:val="0076613A"/>
    <w:rsid w:val="00771E0F"/>
    <w:rsid w:val="007A32C9"/>
    <w:rsid w:val="00816A98"/>
    <w:rsid w:val="0083099A"/>
    <w:rsid w:val="00891B46"/>
    <w:rsid w:val="008A570A"/>
    <w:rsid w:val="008E28BD"/>
    <w:rsid w:val="00947D23"/>
    <w:rsid w:val="009514C2"/>
    <w:rsid w:val="00A300E1"/>
    <w:rsid w:val="00A600FE"/>
    <w:rsid w:val="00A67B0E"/>
    <w:rsid w:val="00A950D1"/>
    <w:rsid w:val="00AD06DB"/>
    <w:rsid w:val="00AF4DD8"/>
    <w:rsid w:val="00B634F8"/>
    <w:rsid w:val="00B725CF"/>
    <w:rsid w:val="00B8191A"/>
    <w:rsid w:val="00BC276C"/>
    <w:rsid w:val="00BC3C01"/>
    <w:rsid w:val="00BD4E69"/>
    <w:rsid w:val="00BE3784"/>
    <w:rsid w:val="00C00591"/>
    <w:rsid w:val="00C85BDB"/>
    <w:rsid w:val="00CC02CE"/>
    <w:rsid w:val="00CF4237"/>
    <w:rsid w:val="00CF54BA"/>
    <w:rsid w:val="00D05E11"/>
    <w:rsid w:val="00D42377"/>
    <w:rsid w:val="00D46513"/>
    <w:rsid w:val="00D614B4"/>
    <w:rsid w:val="00D827F5"/>
    <w:rsid w:val="00DB20F5"/>
    <w:rsid w:val="00DB240D"/>
    <w:rsid w:val="00DE5770"/>
    <w:rsid w:val="00DF2153"/>
    <w:rsid w:val="00E13189"/>
    <w:rsid w:val="00E56C83"/>
    <w:rsid w:val="00E649FD"/>
    <w:rsid w:val="00E8215D"/>
    <w:rsid w:val="00EF1F82"/>
    <w:rsid w:val="00F05018"/>
    <w:rsid w:val="00F132EA"/>
    <w:rsid w:val="00F256C0"/>
    <w:rsid w:val="00F619B6"/>
    <w:rsid w:val="00F814ED"/>
    <w:rsid w:val="00FB5F4E"/>
    <w:rsid w:val="00FE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BFE72"/>
  <w15:docId w15:val="{652C65FD-9461-405E-AF20-17D6A0FE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5A1"/>
    <w:pPr>
      <w:ind w:left="720"/>
      <w:contextualSpacing/>
    </w:pPr>
  </w:style>
  <w:style w:type="paragraph" w:styleId="BalloonText">
    <w:name w:val="Balloon Text"/>
    <w:basedOn w:val="Normal"/>
    <w:link w:val="BalloonTextChar"/>
    <w:uiPriority w:val="99"/>
    <w:semiHidden/>
    <w:unhideWhenUsed/>
    <w:rsid w:val="00360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A1"/>
    <w:rPr>
      <w:rFonts w:ascii="Tahoma" w:hAnsi="Tahoma" w:cs="Tahoma"/>
      <w:sz w:val="16"/>
      <w:szCs w:val="16"/>
    </w:rPr>
  </w:style>
  <w:style w:type="table" w:styleId="TableGrid">
    <w:name w:val="Table Grid"/>
    <w:basedOn w:val="TableNormal"/>
    <w:uiPriority w:val="59"/>
    <w:rsid w:val="00577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DB"/>
  </w:style>
  <w:style w:type="paragraph" w:styleId="Footer">
    <w:name w:val="footer"/>
    <w:basedOn w:val="Normal"/>
    <w:link w:val="FooterChar"/>
    <w:uiPriority w:val="99"/>
    <w:unhideWhenUsed/>
    <w:rsid w:val="00C85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DB"/>
  </w:style>
  <w:style w:type="paragraph" w:customStyle="1" w:styleId="Address">
    <w:name w:val="Address"/>
    <w:basedOn w:val="Normal"/>
    <w:rsid w:val="00BC276C"/>
    <w:pPr>
      <w:tabs>
        <w:tab w:val="left" w:pos="360"/>
        <w:tab w:val="left" w:pos="450"/>
      </w:tabs>
      <w:spacing w:after="0" w:line="240" w:lineRule="exact"/>
    </w:pPr>
    <w:rPr>
      <w:rFonts w:ascii="PalatinoTT" w:eastAsia="Times" w:hAnsi="PalatinoTT" w:cs="Times New Roman"/>
      <w:sz w:val="18"/>
      <w:szCs w:val="20"/>
    </w:rPr>
  </w:style>
  <w:style w:type="paragraph" w:customStyle="1" w:styleId="Department">
    <w:name w:val="Department"/>
    <w:basedOn w:val="Normal"/>
    <w:rsid w:val="00BC276C"/>
    <w:pPr>
      <w:spacing w:after="100" w:line="200" w:lineRule="exact"/>
    </w:pPr>
    <w:rPr>
      <w:rFonts w:ascii="PalatinoTT" w:eastAsia="Times" w:hAnsi="PalatinoTT" w:cs="Times New Roman"/>
      <w:caps/>
      <w:spacing w:val="30"/>
      <w:sz w:val="14"/>
      <w:szCs w:val="20"/>
    </w:rPr>
  </w:style>
  <w:style w:type="character" w:styleId="CommentReference">
    <w:name w:val="annotation reference"/>
    <w:basedOn w:val="DefaultParagraphFont"/>
    <w:uiPriority w:val="99"/>
    <w:semiHidden/>
    <w:unhideWhenUsed/>
    <w:rsid w:val="00B8191A"/>
    <w:rPr>
      <w:sz w:val="16"/>
      <w:szCs w:val="16"/>
    </w:rPr>
  </w:style>
  <w:style w:type="paragraph" w:styleId="CommentText">
    <w:name w:val="annotation text"/>
    <w:basedOn w:val="Normal"/>
    <w:link w:val="CommentTextChar"/>
    <w:uiPriority w:val="99"/>
    <w:semiHidden/>
    <w:unhideWhenUsed/>
    <w:rsid w:val="00B8191A"/>
    <w:pPr>
      <w:spacing w:line="240" w:lineRule="auto"/>
    </w:pPr>
    <w:rPr>
      <w:sz w:val="20"/>
      <w:szCs w:val="20"/>
    </w:rPr>
  </w:style>
  <w:style w:type="character" w:customStyle="1" w:styleId="CommentTextChar">
    <w:name w:val="Comment Text Char"/>
    <w:basedOn w:val="DefaultParagraphFont"/>
    <w:link w:val="CommentText"/>
    <w:uiPriority w:val="99"/>
    <w:semiHidden/>
    <w:rsid w:val="00B8191A"/>
    <w:rPr>
      <w:sz w:val="20"/>
      <w:szCs w:val="20"/>
    </w:rPr>
  </w:style>
  <w:style w:type="paragraph" w:styleId="CommentSubject">
    <w:name w:val="annotation subject"/>
    <w:basedOn w:val="CommentText"/>
    <w:next w:val="CommentText"/>
    <w:link w:val="CommentSubjectChar"/>
    <w:uiPriority w:val="99"/>
    <w:semiHidden/>
    <w:unhideWhenUsed/>
    <w:rsid w:val="00B8191A"/>
    <w:rPr>
      <w:b/>
      <w:bCs/>
    </w:rPr>
  </w:style>
  <w:style w:type="character" w:customStyle="1" w:styleId="CommentSubjectChar">
    <w:name w:val="Comment Subject Char"/>
    <w:basedOn w:val="CommentTextChar"/>
    <w:link w:val="CommentSubject"/>
    <w:uiPriority w:val="99"/>
    <w:semiHidden/>
    <w:rsid w:val="00B819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82741">
      <w:bodyDiv w:val="1"/>
      <w:marLeft w:val="0"/>
      <w:marRight w:val="0"/>
      <w:marTop w:val="0"/>
      <w:marBottom w:val="0"/>
      <w:divBdr>
        <w:top w:val="none" w:sz="0" w:space="0" w:color="auto"/>
        <w:left w:val="none" w:sz="0" w:space="0" w:color="auto"/>
        <w:bottom w:val="none" w:sz="0" w:space="0" w:color="auto"/>
        <w:right w:val="none" w:sz="0" w:space="0" w:color="auto"/>
      </w:divBdr>
    </w:div>
    <w:div w:id="9469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9A8C5-2627-425E-88BE-D588E5F8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Woermke</dc:creator>
  <cp:lastModifiedBy>Dan</cp:lastModifiedBy>
  <cp:revision>3</cp:revision>
  <dcterms:created xsi:type="dcterms:W3CDTF">2020-06-16T13:20:00Z</dcterms:created>
  <dcterms:modified xsi:type="dcterms:W3CDTF">2020-06-17T15:49:00Z</dcterms:modified>
</cp:coreProperties>
</file>