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15E4" w14:textId="1CF64B73" w:rsidR="0062162D" w:rsidRDefault="0062162D" w:rsidP="7CD48BDF">
      <w:pPr>
        <w:rPr>
          <w:rFonts w:asciiTheme="minorHAnsi" w:hAnsiTheme="minorHAnsi"/>
          <w:b/>
          <w:bCs/>
          <w:highlight w:val="yellow"/>
          <w:lang w:val="en-GB"/>
        </w:rPr>
      </w:pPr>
      <w:r w:rsidRPr="344A24D5">
        <w:rPr>
          <w:rFonts w:asciiTheme="minorHAnsi" w:hAnsiTheme="minorHAnsi"/>
          <w:b/>
          <w:bCs/>
          <w:lang w:val="en-GB"/>
        </w:rPr>
        <w:t>QUEEN’S UNIVERSITY</w:t>
      </w:r>
      <w:r>
        <w:tab/>
      </w:r>
      <w:r>
        <w:tab/>
      </w:r>
      <w:r>
        <w:tab/>
      </w:r>
      <w:r>
        <w:tab/>
      </w:r>
      <w:r>
        <w:tab/>
      </w:r>
      <w:r>
        <w:tab/>
      </w:r>
      <w:r>
        <w:tab/>
      </w:r>
      <w:r>
        <w:tab/>
      </w:r>
      <w:r w:rsidR="00416DAF" w:rsidRPr="344A24D5">
        <w:rPr>
          <w:rFonts w:asciiTheme="minorHAnsi" w:hAnsiTheme="minorHAnsi"/>
          <w:b/>
          <w:bCs/>
          <w:highlight w:val="yellow"/>
          <w:lang w:val="en-GB"/>
        </w:rPr>
        <w:t>WINTER 202</w:t>
      </w:r>
      <w:r w:rsidR="001F4340">
        <w:rPr>
          <w:rFonts w:asciiTheme="minorHAnsi" w:hAnsiTheme="minorHAnsi"/>
          <w:b/>
          <w:bCs/>
          <w:highlight w:val="yellow"/>
          <w:lang w:val="en-GB"/>
        </w:rPr>
        <w:t>4</w:t>
      </w:r>
    </w:p>
    <w:p w14:paraId="222D8959" w14:textId="77777777" w:rsidR="0062162D" w:rsidRDefault="0062162D" w:rsidP="0062162D">
      <w:pPr>
        <w:rPr>
          <w:rFonts w:asciiTheme="minorHAnsi" w:hAnsiTheme="minorHAnsi"/>
          <w:b/>
          <w:lang w:val="en-GB"/>
        </w:rPr>
      </w:pPr>
      <w:r>
        <w:rPr>
          <w:rFonts w:asciiTheme="minorHAnsi" w:hAnsiTheme="minorHAnsi"/>
          <w:b/>
          <w:lang w:val="en-GB"/>
        </w:rPr>
        <w:t>DEPARTMENT OF GENDER STUDIES</w:t>
      </w:r>
    </w:p>
    <w:p w14:paraId="47FADF2D" w14:textId="77777777" w:rsidR="0062162D" w:rsidRDefault="0062162D" w:rsidP="0062162D">
      <w:pPr>
        <w:rPr>
          <w:rFonts w:asciiTheme="minorHAnsi" w:hAnsiTheme="minorHAnsi"/>
          <w:b/>
          <w:lang w:val="en-GB"/>
        </w:rPr>
      </w:pPr>
    </w:p>
    <w:tbl>
      <w:tblPr>
        <w:tblStyle w:val="TableGrid"/>
        <w:tblW w:w="10525" w:type="dxa"/>
        <w:jc w:val="center"/>
        <w:tblLook w:val="04A0" w:firstRow="1" w:lastRow="0" w:firstColumn="1" w:lastColumn="0" w:noHBand="0" w:noVBand="1"/>
      </w:tblPr>
      <w:tblGrid>
        <w:gridCol w:w="6835"/>
        <w:gridCol w:w="3690"/>
      </w:tblGrid>
      <w:tr w:rsidR="0062162D" w14:paraId="6DD4D715" w14:textId="77777777" w:rsidTr="344A24D5">
        <w:trPr>
          <w:jc w:val="center"/>
        </w:trPr>
        <w:tc>
          <w:tcPr>
            <w:tcW w:w="6835" w:type="dxa"/>
          </w:tcPr>
          <w:p w14:paraId="741530F4" w14:textId="5C8B1B32" w:rsidR="0062162D" w:rsidRDefault="0062162D" w:rsidP="006B4DC4">
            <w:pPr>
              <w:rPr>
                <w:rFonts w:asciiTheme="minorHAnsi" w:hAnsiTheme="minorHAnsi"/>
                <w:b/>
                <w:lang w:val="en-GB"/>
              </w:rPr>
            </w:pPr>
            <w:r w:rsidRPr="0087584E">
              <w:rPr>
                <w:rFonts w:asciiTheme="minorHAnsi" w:hAnsiTheme="minorHAnsi"/>
                <w:b/>
                <w:lang w:val="en-GB"/>
              </w:rPr>
              <w:t>Course Name</w:t>
            </w:r>
          </w:p>
          <w:p w14:paraId="5F9F43EC" w14:textId="2E73E408" w:rsidR="006D3C8A" w:rsidRPr="0020057F" w:rsidRDefault="006D3C8A" w:rsidP="006B4DC4">
            <w:pPr>
              <w:rPr>
                <w:rFonts w:cs="Times New Roman"/>
                <w:b/>
                <w:sz w:val="22"/>
              </w:rPr>
            </w:pPr>
            <w:r>
              <w:rPr>
                <w:rFonts w:asciiTheme="minorHAnsi" w:hAnsiTheme="minorHAnsi"/>
                <w:b/>
                <w:lang w:val="en-GB"/>
              </w:rPr>
              <w:t>GNDS 838 Institutional Ethnography: Mapping the social</w:t>
            </w:r>
          </w:p>
          <w:p w14:paraId="6C03E92A" w14:textId="77777777" w:rsidR="0062162D" w:rsidRPr="0087584E" w:rsidRDefault="0062162D" w:rsidP="006B4DC4">
            <w:pPr>
              <w:rPr>
                <w:rFonts w:asciiTheme="minorHAnsi" w:hAnsiTheme="minorHAnsi"/>
                <w:lang w:val="en-GB"/>
              </w:rPr>
            </w:pPr>
          </w:p>
          <w:p w14:paraId="6D14D914" w14:textId="182A410E" w:rsidR="0062162D" w:rsidRDefault="0062162D" w:rsidP="344A24D5">
            <w:pPr>
              <w:rPr>
                <w:rFonts w:asciiTheme="minorHAnsi" w:hAnsiTheme="minorHAnsi"/>
                <w:b/>
                <w:bCs/>
                <w:lang w:val="en-GB"/>
              </w:rPr>
            </w:pPr>
            <w:r w:rsidRPr="344A24D5">
              <w:rPr>
                <w:rFonts w:asciiTheme="minorHAnsi" w:hAnsiTheme="minorHAnsi"/>
                <w:b/>
                <w:bCs/>
                <w:lang w:val="en-GB"/>
              </w:rPr>
              <w:t>Contact Hours</w:t>
            </w:r>
          </w:p>
          <w:p w14:paraId="53D8D8F6" w14:textId="430D52A5" w:rsidR="0062162D" w:rsidRDefault="0020057F" w:rsidP="0062162D">
            <w:pPr>
              <w:rPr>
                <w:rFonts w:asciiTheme="minorHAnsi" w:hAnsiTheme="minorHAnsi"/>
                <w:lang w:val="en-GB"/>
              </w:rPr>
            </w:pPr>
            <w:r>
              <w:rPr>
                <w:rFonts w:asciiTheme="minorHAnsi" w:hAnsiTheme="minorHAnsi"/>
                <w:lang w:val="en-GB"/>
              </w:rPr>
              <w:t>T</w:t>
            </w:r>
            <w:r w:rsidR="004407C2">
              <w:rPr>
                <w:rFonts w:asciiTheme="minorHAnsi" w:hAnsiTheme="minorHAnsi"/>
                <w:lang w:val="en-GB"/>
              </w:rPr>
              <w:t>hursdays</w:t>
            </w:r>
            <w:r>
              <w:rPr>
                <w:rFonts w:asciiTheme="minorHAnsi" w:hAnsiTheme="minorHAnsi"/>
                <w:lang w:val="en-GB"/>
              </w:rPr>
              <w:t xml:space="preserve"> 2:30 pm to 5:30 pm</w:t>
            </w:r>
          </w:p>
          <w:p w14:paraId="41084995" w14:textId="77777777" w:rsidR="0062162D" w:rsidRDefault="0062162D" w:rsidP="0062162D">
            <w:pPr>
              <w:rPr>
                <w:rFonts w:asciiTheme="minorHAnsi" w:hAnsiTheme="minorHAnsi"/>
                <w:b/>
                <w:lang w:val="en-GB"/>
              </w:rPr>
            </w:pPr>
          </w:p>
        </w:tc>
        <w:tc>
          <w:tcPr>
            <w:tcW w:w="3690" w:type="dxa"/>
          </w:tcPr>
          <w:p w14:paraId="3986E660" w14:textId="77777777" w:rsidR="0062162D" w:rsidRDefault="0062162D" w:rsidP="0062162D">
            <w:pPr>
              <w:rPr>
                <w:rFonts w:asciiTheme="minorHAnsi" w:hAnsiTheme="minorHAnsi"/>
                <w:b/>
                <w:lang w:val="en-GB"/>
              </w:rPr>
            </w:pPr>
          </w:p>
          <w:p w14:paraId="52785800" w14:textId="03EB41FE" w:rsidR="00C95967" w:rsidRDefault="00C95967" w:rsidP="0062162D">
            <w:pPr>
              <w:rPr>
                <w:rFonts w:asciiTheme="minorHAnsi" w:hAnsiTheme="minorHAnsi"/>
                <w:b/>
                <w:lang w:val="en-GB"/>
              </w:rPr>
            </w:pPr>
          </w:p>
        </w:tc>
      </w:tr>
      <w:tr w:rsidR="0062162D" w14:paraId="3C34E850" w14:textId="77777777" w:rsidTr="344A24D5">
        <w:trPr>
          <w:jc w:val="center"/>
        </w:trPr>
        <w:tc>
          <w:tcPr>
            <w:tcW w:w="6835" w:type="dxa"/>
          </w:tcPr>
          <w:p w14:paraId="2FFB4754" w14:textId="21193461" w:rsidR="004407C2" w:rsidRPr="009B7787" w:rsidRDefault="0062162D" w:rsidP="004407C2">
            <w:pPr>
              <w:rPr>
                <w:rFonts w:asciiTheme="minorHAnsi" w:hAnsiTheme="minorHAnsi" w:cstheme="minorHAnsi"/>
                <w:b/>
                <w:lang w:val="en-GB"/>
              </w:rPr>
            </w:pPr>
            <w:r w:rsidRPr="009B7787">
              <w:rPr>
                <w:rFonts w:asciiTheme="minorHAnsi" w:hAnsiTheme="minorHAnsi" w:cstheme="minorHAnsi"/>
                <w:b/>
                <w:lang w:val="en-GB"/>
              </w:rPr>
              <w:t>Course Description</w:t>
            </w:r>
          </w:p>
          <w:p w14:paraId="1AE26FE8" w14:textId="77777777" w:rsidR="006D3C8A" w:rsidRPr="009B7787" w:rsidRDefault="006D3C8A" w:rsidP="006D3C8A">
            <w:pPr>
              <w:rPr>
                <w:rFonts w:asciiTheme="minorHAnsi" w:hAnsiTheme="minorHAnsi" w:cstheme="minorHAnsi"/>
                <w:sz w:val="22"/>
              </w:rPr>
            </w:pPr>
            <w:r w:rsidRPr="009B7787">
              <w:rPr>
                <w:rFonts w:asciiTheme="minorHAnsi" w:hAnsiTheme="minorHAnsi" w:cstheme="minorHAnsi"/>
                <w:sz w:val="22"/>
              </w:rPr>
              <w:t xml:space="preserve">This course begins by examining Dorothy E. Smith’s writings on the development of IE as an alternative sociology. Once we have examined the ontological underpinnings of this research approach, we look at how one might go about conducting an institutional ethnography. We will examine various case studies of people’s participation within institutions and how their work is socially constituted through discursive practices and text-based processes. We will focus on the role of interviews and the analysis of texts to investigate how power is socially organized and discuss the ways in which IE may be put into practice. Through group discussions at the outset of the course, we will identify students’ interests and select specific examples of IE that are relevant to your own research and explore the diverse ways with which IE has been used to advance social justice initiatives. </w:t>
            </w:r>
          </w:p>
          <w:p w14:paraId="1A82FE08" w14:textId="47021EF8" w:rsidR="0062162D" w:rsidRPr="009B7787" w:rsidRDefault="0062162D" w:rsidP="00182539">
            <w:pPr>
              <w:rPr>
                <w:rFonts w:asciiTheme="minorHAnsi" w:hAnsiTheme="minorHAnsi" w:cstheme="minorHAnsi"/>
              </w:rPr>
            </w:pPr>
          </w:p>
        </w:tc>
        <w:tc>
          <w:tcPr>
            <w:tcW w:w="3690" w:type="dxa"/>
          </w:tcPr>
          <w:p w14:paraId="6E6E484B" w14:textId="58536EEB" w:rsidR="009B42DA" w:rsidRPr="009B7787" w:rsidRDefault="0062162D" w:rsidP="005578F9">
            <w:pPr>
              <w:rPr>
                <w:rFonts w:asciiTheme="minorHAnsi" w:hAnsiTheme="minorHAnsi" w:cstheme="minorHAnsi"/>
                <w:b/>
                <w:lang w:val="en-GB"/>
              </w:rPr>
            </w:pPr>
            <w:r w:rsidRPr="009B7787">
              <w:rPr>
                <w:rFonts w:asciiTheme="minorHAnsi" w:hAnsiTheme="minorHAnsi" w:cstheme="minorHAnsi"/>
                <w:b/>
                <w:lang w:val="en-GB"/>
              </w:rPr>
              <w:t>Required Course Materials</w:t>
            </w:r>
          </w:p>
          <w:p w14:paraId="163DBF7E" w14:textId="3BED7DE6" w:rsidR="006D3C8A" w:rsidRPr="009B7787" w:rsidRDefault="006D3C8A" w:rsidP="006D3C8A">
            <w:pPr>
              <w:spacing w:before="100" w:beforeAutospacing="1" w:after="100" w:afterAutospacing="1"/>
              <w:rPr>
                <w:rFonts w:asciiTheme="minorHAnsi" w:eastAsia="Times New Roman" w:hAnsiTheme="minorHAnsi" w:cstheme="minorHAnsi"/>
                <w:sz w:val="22"/>
              </w:rPr>
            </w:pPr>
            <w:r w:rsidRPr="009B7787">
              <w:rPr>
                <w:rFonts w:asciiTheme="minorHAnsi" w:eastAsia="Times New Roman" w:hAnsiTheme="minorHAnsi" w:cstheme="minorHAnsi"/>
                <w:sz w:val="22"/>
              </w:rPr>
              <w:t>Smith, Dorothy E. &amp; Alison I. Griffith. (2022). Simply Institutional Ethnography: Creating a</w:t>
            </w:r>
            <w:r w:rsidR="009B7787">
              <w:rPr>
                <w:rFonts w:asciiTheme="minorHAnsi" w:eastAsia="Times New Roman" w:hAnsiTheme="minorHAnsi" w:cstheme="minorHAnsi"/>
                <w:sz w:val="22"/>
              </w:rPr>
              <w:t xml:space="preserve"> </w:t>
            </w:r>
            <w:r w:rsidRPr="009B7787">
              <w:rPr>
                <w:rFonts w:asciiTheme="minorHAnsi" w:eastAsia="Times New Roman" w:hAnsiTheme="minorHAnsi" w:cstheme="minorHAnsi"/>
                <w:sz w:val="22"/>
              </w:rPr>
              <w:t>Sociology for People. Toronto: University of Toronto Press.</w:t>
            </w:r>
          </w:p>
          <w:p w14:paraId="59E800B7" w14:textId="2103C350" w:rsidR="006D3C8A" w:rsidRPr="009B7787" w:rsidRDefault="006D3C8A" w:rsidP="006D3C8A">
            <w:pPr>
              <w:spacing w:before="100" w:beforeAutospacing="1" w:after="100" w:afterAutospacing="1"/>
              <w:rPr>
                <w:rFonts w:asciiTheme="minorHAnsi" w:eastAsia="Times New Roman" w:hAnsiTheme="minorHAnsi" w:cstheme="minorHAnsi"/>
                <w:sz w:val="22"/>
              </w:rPr>
            </w:pPr>
            <w:r w:rsidRPr="009B7787">
              <w:rPr>
                <w:rFonts w:asciiTheme="minorHAnsi" w:eastAsia="Times New Roman" w:hAnsiTheme="minorHAnsi" w:cstheme="minorHAnsi"/>
                <w:sz w:val="22"/>
              </w:rPr>
              <w:t xml:space="preserve">Smith, Dorothy E. (2005). Institutional Ethnography: A Sociology for People. Lanham: </w:t>
            </w:r>
            <w:proofErr w:type="spellStart"/>
            <w:r w:rsidRPr="009B7787">
              <w:rPr>
                <w:rFonts w:asciiTheme="minorHAnsi" w:eastAsia="Times New Roman" w:hAnsiTheme="minorHAnsi" w:cstheme="minorHAnsi"/>
                <w:sz w:val="22"/>
              </w:rPr>
              <w:t>AltaMira</w:t>
            </w:r>
            <w:proofErr w:type="spellEnd"/>
            <w:r w:rsidRPr="009B7787">
              <w:rPr>
                <w:rFonts w:asciiTheme="minorHAnsi" w:eastAsia="Times New Roman" w:hAnsiTheme="minorHAnsi" w:cstheme="minorHAnsi"/>
                <w:sz w:val="22"/>
              </w:rPr>
              <w:t xml:space="preserve"> Press. </w:t>
            </w:r>
          </w:p>
          <w:p w14:paraId="12C7D658" w14:textId="4A970FB4" w:rsidR="006D3C8A" w:rsidRDefault="006D3C8A" w:rsidP="006D3C8A">
            <w:pPr>
              <w:ind w:left="360" w:hanging="360"/>
              <w:rPr>
                <w:rFonts w:asciiTheme="minorHAnsi" w:eastAsia="Times New Roman" w:hAnsiTheme="minorHAnsi" w:cstheme="minorHAnsi"/>
                <w:sz w:val="22"/>
              </w:rPr>
            </w:pPr>
            <w:proofErr w:type="spellStart"/>
            <w:r w:rsidRPr="009B7787">
              <w:rPr>
                <w:rFonts w:asciiTheme="minorHAnsi" w:eastAsia="Times New Roman" w:hAnsiTheme="minorHAnsi" w:cstheme="minorHAnsi"/>
                <w:bCs/>
              </w:rPr>
              <w:t>B</w:t>
            </w:r>
            <w:r w:rsidRPr="009B7787">
              <w:rPr>
                <w:rFonts w:asciiTheme="minorHAnsi" w:eastAsia="Times New Roman" w:hAnsiTheme="minorHAnsi" w:cstheme="minorHAnsi"/>
                <w:sz w:val="22"/>
              </w:rPr>
              <w:t>isaillon</w:t>
            </w:r>
            <w:proofErr w:type="spellEnd"/>
            <w:r w:rsidRPr="009B7787">
              <w:rPr>
                <w:rFonts w:asciiTheme="minorHAnsi" w:eastAsia="Times New Roman" w:hAnsiTheme="minorHAnsi" w:cstheme="minorHAnsi"/>
                <w:sz w:val="22"/>
              </w:rPr>
              <w:t>, Laura. (2022). Screening Out: HIV Testing and the Canadian Immigration Experience.</w:t>
            </w:r>
            <w:r w:rsidR="009B7787">
              <w:rPr>
                <w:rFonts w:asciiTheme="minorHAnsi" w:eastAsia="Times New Roman" w:hAnsiTheme="minorHAnsi" w:cstheme="minorHAnsi"/>
                <w:sz w:val="22"/>
              </w:rPr>
              <w:t xml:space="preserve"> </w:t>
            </w:r>
            <w:r w:rsidRPr="009B7787">
              <w:rPr>
                <w:rFonts w:asciiTheme="minorHAnsi" w:eastAsia="Times New Roman" w:hAnsiTheme="minorHAnsi" w:cstheme="minorHAnsi"/>
                <w:sz w:val="22"/>
              </w:rPr>
              <w:t>Vancouver: UBC Press.</w:t>
            </w:r>
          </w:p>
          <w:p w14:paraId="27E0CA60" w14:textId="77777777" w:rsidR="009B7787" w:rsidRPr="009B7787" w:rsidRDefault="009B7787" w:rsidP="006D3C8A">
            <w:pPr>
              <w:ind w:left="360" w:hanging="360"/>
              <w:rPr>
                <w:rFonts w:asciiTheme="minorHAnsi" w:eastAsia="Times New Roman" w:hAnsiTheme="minorHAnsi" w:cstheme="minorHAnsi"/>
                <w:b/>
              </w:rPr>
            </w:pPr>
          </w:p>
          <w:p w14:paraId="1776A917" w14:textId="77777777" w:rsidR="006D3C8A" w:rsidRPr="009B7787" w:rsidRDefault="006D3C8A" w:rsidP="006D3C8A">
            <w:pPr>
              <w:ind w:left="360" w:hanging="360"/>
              <w:rPr>
                <w:rFonts w:asciiTheme="minorHAnsi" w:eastAsia="Times New Roman" w:hAnsiTheme="minorHAnsi" w:cstheme="minorHAnsi"/>
                <w:sz w:val="22"/>
              </w:rPr>
            </w:pPr>
            <w:r w:rsidRPr="009B7787">
              <w:rPr>
                <w:rFonts w:asciiTheme="minorHAnsi" w:eastAsia="Times New Roman" w:hAnsiTheme="minorHAnsi" w:cstheme="minorHAnsi"/>
                <w:sz w:val="22"/>
              </w:rPr>
              <w:t xml:space="preserve">Campbell, Marie &amp; Frances Gregor (2002). Mapping Social Relations: A Primer in Doing </w:t>
            </w:r>
            <w:r w:rsidRPr="009B7787">
              <w:rPr>
                <w:rFonts w:asciiTheme="minorHAnsi" w:eastAsia="Times New Roman" w:hAnsiTheme="minorHAnsi" w:cstheme="minorHAnsi"/>
                <w:sz w:val="22"/>
              </w:rPr>
              <w:tab/>
              <w:t xml:space="preserve">Institutional Ethnography. Toronto: Garamond Press. </w:t>
            </w:r>
          </w:p>
          <w:p w14:paraId="554110F8" w14:textId="1CA6A15B" w:rsidR="0062162D" w:rsidRPr="009B7787" w:rsidRDefault="0062162D" w:rsidP="006D3C8A">
            <w:pPr>
              <w:rPr>
                <w:rFonts w:asciiTheme="minorHAnsi" w:hAnsiTheme="minorHAnsi" w:cstheme="minorHAnsi"/>
                <w:b/>
                <w:lang w:val="en-GB"/>
              </w:rPr>
            </w:pPr>
          </w:p>
        </w:tc>
      </w:tr>
      <w:tr w:rsidR="0062162D" w14:paraId="7F22512A" w14:textId="77777777" w:rsidTr="344A24D5">
        <w:trPr>
          <w:jc w:val="center"/>
        </w:trPr>
        <w:tc>
          <w:tcPr>
            <w:tcW w:w="6835" w:type="dxa"/>
          </w:tcPr>
          <w:p w14:paraId="7C50D0A5" w14:textId="2C30B920" w:rsidR="0062162D" w:rsidRDefault="0062162D" w:rsidP="0062162D">
            <w:pPr>
              <w:rPr>
                <w:rFonts w:asciiTheme="minorHAnsi" w:hAnsiTheme="minorHAnsi"/>
                <w:b/>
                <w:lang w:val="en-GB"/>
              </w:rPr>
            </w:pPr>
            <w:r w:rsidRPr="000B4A66">
              <w:rPr>
                <w:rFonts w:asciiTheme="minorHAnsi" w:hAnsiTheme="minorHAnsi"/>
                <w:b/>
                <w:lang w:val="en-GB"/>
              </w:rPr>
              <w:t>Course Objectives</w:t>
            </w:r>
          </w:p>
          <w:p w14:paraId="643AD91D" w14:textId="0F802EF7" w:rsidR="006D3C8A" w:rsidRPr="009B7787" w:rsidRDefault="006D3C8A" w:rsidP="0062162D">
            <w:pPr>
              <w:rPr>
                <w:rFonts w:asciiTheme="minorHAnsi" w:hAnsiTheme="minorHAnsi"/>
                <w:bCs/>
                <w:lang w:val="en-GB"/>
              </w:rPr>
            </w:pPr>
            <w:r w:rsidRPr="009B7787">
              <w:rPr>
                <w:rFonts w:asciiTheme="minorHAnsi" w:hAnsiTheme="minorHAnsi"/>
                <w:bCs/>
                <w:lang w:val="en-GB"/>
              </w:rPr>
              <w:t>• Understand IE as an alternative ontology of the social</w:t>
            </w:r>
          </w:p>
          <w:p w14:paraId="439672E7" w14:textId="0F1D5DF3" w:rsidR="006D3C8A" w:rsidRPr="009B7787" w:rsidRDefault="006D3C8A" w:rsidP="0062162D">
            <w:pPr>
              <w:rPr>
                <w:rFonts w:asciiTheme="minorHAnsi" w:hAnsiTheme="minorHAnsi"/>
                <w:bCs/>
                <w:lang w:val="en-GB"/>
              </w:rPr>
            </w:pPr>
            <w:r w:rsidRPr="009B7787">
              <w:rPr>
                <w:rFonts w:asciiTheme="minorHAnsi" w:hAnsiTheme="minorHAnsi"/>
                <w:bCs/>
                <w:lang w:val="en-GB"/>
              </w:rPr>
              <w:t>• provide analysis of discursive practices and text-based processes that help organize people’s everyday practices</w:t>
            </w:r>
          </w:p>
          <w:p w14:paraId="2DEC244F" w14:textId="0F41798C" w:rsidR="006D3C8A" w:rsidRPr="009B7787" w:rsidRDefault="006D3C8A" w:rsidP="0062162D">
            <w:pPr>
              <w:rPr>
                <w:rFonts w:asciiTheme="minorHAnsi" w:hAnsiTheme="minorHAnsi"/>
                <w:bCs/>
                <w:lang w:val="en-GB"/>
              </w:rPr>
            </w:pPr>
            <w:r w:rsidRPr="009B7787">
              <w:rPr>
                <w:rFonts w:asciiTheme="minorHAnsi" w:hAnsiTheme="minorHAnsi"/>
                <w:bCs/>
                <w:lang w:val="en-GB"/>
              </w:rPr>
              <w:t>• apply IE to their own research to advance social justice initiatives</w:t>
            </w:r>
          </w:p>
          <w:p w14:paraId="54C12652" w14:textId="10CBCA94" w:rsidR="0020057F" w:rsidRPr="0020057F" w:rsidRDefault="0020057F" w:rsidP="006D3C8A">
            <w:pPr>
              <w:pStyle w:val="Default"/>
              <w:ind w:left="720"/>
              <w:rPr>
                <w:rFonts w:cs="Times New Roman"/>
                <w:sz w:val="22"/>
              </w:rPr>
            </w:pPr>
          </w:p>
        </w:tc>
        <w:tc>
          <w:tcPr>
            <w:tcW w:w="3690" w:type="dxa"/>
          </w:tcPr>
          <w:p w14:paraId="10E7E8CA" w14:textId="77777777" w:rsidR="0062162D" w:rsidRPr="000B4A66" w:rsidRDefault="0062162D" w:rsidP="006B4DC4">
            <w:pPr>
              <w:rPr>
                <w:rFonts w:asciiTheme="minorHAnsi" w:hAnsiTheme="minorHAnsi"/>
                <w:b/>
                <w:lang w:val="en-GB"/>
              </w:rPr>
            </w:pPr>
            <w:r w:rsidRPr="000B4A66">
              <w:rPr>
                <w:rFonts w:asciiTheme="minorHAnsi" w:hAnsiTheme="minorHAnsi"/>
                <w:b/>
                <w:lang w:val="en-GB"/>
              </w:rPr>
              <w:t>Course Evaluation</w:t>
            </w:r>
          </w:p>
          <w:p w14:paraId="44293163" w14:textId="77777777" w:rsidR="006D3C8A" w:rsidRPr="00DE4B0A" w:rsidRDefault="006D3C8A" w:rsidP="006D3C8A">
            <w:pPr>
              <w:contextualSpacing/>
              <w:rPr>
                <w:rFonts w:cs="Times New Roman"/>
                <w:b/>
                <w:color w:val="000000" w:themeColor="text1"/>
              </w:rPr>
            </w:pPr>
            <w:r>
              <w:rPr>
                <w:rFonts w:cs="Times New Roman"/>
                <w:b/>
                <w:color w:val="000000" w:themeColor="text1"/>
              </w:rPr>
              <w:t>ASSIGNMENTS AND COURSE EVALUATION</w:t>
            </w:r>
          </w:p>
          <w:tbl>
            <w:tblPr>
              <w:tblStyle w:val="TableGrid"/>
              <w:tblW w:w="0" w:type="auto"/>
              <w:tblCellMar>
                <w:top w:w="28" w:type="dxa"/>
                <w:bottom w:w="28" w:type="dxa"/>
              </w:tblCellMar>
              <w:tblLook w:val="04A0" w:firstRow="1" w:lastRow="0" w:firstColumn="1" w:lastColumn="0" w:noHBand="0" w:noVBand="1"/>
            </w:tblPr>
            <w:tblGrid>
              <w:gridCol w:w="1865"/>
              <w:gridCol w:w="1599"/>
            </w:tblGrid>
            <w:tr w:rsidR="006D3C8A" w:rsidRPr="003B6A8A" w14:paraId="41FC3C94" w14:textId="77777777" w:rsidTr="00191758">
              <w:trPr>
                <w:trHeight w:val="255"/>
              </w:trPr>
              <w:tc>
                <w:tcPr>
                  <w:tcW w:w="4268" w:type="dxa"/>
                </w:tcPr>
                <w:p w14:paraId="7B5871DC" w14:textId="77777777" w:rsidR="006D3C8A" w:rsidRPr="003B6A8A" w:rsidRDefault="006D3C8A" w:rsidP="006D3C8A">
                  <w:pPr>
                    <w:pStyle w:val="NoSpacing"/>
                    <w:contextualSpacing/>
                    <w:rPr>
                      <w:b/>
                      <w:bCs/>
                      <w:color w:val="000000" w:themeColor="text1"/>
                      <w:sz w:val="22"/>
                    </w:rPr>
                  </w:pPr>
                  <w:r w:rsidRPr="003B6A8A">
                    <w:rPr>
                      <w:b/>
                      <w:bCs/>
                      <w:color w:val="000000" w:themeColor="text1"/>
                      <w:sz w:val="22"/>
                    </w:rPr>
                    <w:t>Course Evaluation</w:t>
                  </w:r>
                </w:p>
              </w:tc>
              <w:tc>
                <w:tcPr>
                  <w:tcW w:w="3956" w:type="dxa"/>
                </w:tcPr>
                <w:p w14:paraId="0B150F65" w14:textId="77777777" w:rsidR="006D3C8A" w:rsidRPr="003B6A8A" w:rsidRDefault="006D3C8A" w:rsidP="006D3C8A">
                  <w:pPr>
                    <w:pStyle w:val="NoSpacing"/>
                    <w:contextualSpacing/>
                    <w:rPr>
                      <w:b/>
                      <w:bCs/>
                      <w:color w:val="000000" w:themeColor="text1"/>
                      <w:sz w:val="22"/>
                    </w:rPr>
                  </w:pPr>
                  <w:r w:rsidRPr="003B6A8A">
                    <w:rPr>
                      <w:b/>
                      <w:bCs/>
                      <w:color w:val="000000" w:themeColor="text1"/>
                      <w:sz w:val="22"/>
                    </w:rPr>
                    <w:t>Deadline</w:t>
                  </w:r>
                </w:p>
              </w:tc>
            </w:tr>
            <w:tr w:rsidR="006D3C8A" w:rsidRPr="003B6A8A" w14:paraId="61A09F60" w14:textId="77777777" w:rsidTr="00191758">
              <w:trPr>
                <w:trHeight w:val="255"/>
              </w:trPr>
              <w:tc>
                <w:tcPr>
                  <w:tcW w:w="4268" w:type="dxa"/>
                </w:tcPr>
                <w:p w14:paraId="04ACDE06" w14:textId="77777777" w:rsidR="006D3C8A" w:rsidRPr="003B6A8A" w:rsidRDefault="006D3C8A" w:rsidP="006D3C8A">
                  <w:pPr>
                    <w:pStyle w:val="NoSpacing"/>
                    <w:contextualSpacing/>
                    <w:rPr>
                      <w:color w:val="000000" w:themeColor="text1"/>
                      <w:sz w:val="22"/>
                    </w:rPr>
                  </w:pPr>
                  <w:r w:rsidRPr="003B6A8A">
                    <w:rPr>
                      <w:color w:val="000000" w:themeColor="text1"/>
                      <w:sz w:val="22"/>
                    </w:rPr>
                    <w:t>Attendance &amp; Discussion</w:t>
                  </w:r>
                </w:p>
              </w:tc>
              <w:tc>
                <w:tcPr>
                  <w:tcW w:w="3956" w:type="dxa"/>
                </w:tcPr>
                <w:p w14:paraId="76CE4100" w14:textId="03AAAE77" w:rsidR="006D3C8A" w:rsidRPr="003B6A8A" w:rsidRDefault="006D3C8A" w:rsidP="006D3C8A">
                  <w:pPr>
                    <w:pStyle w:val="NoSpacing"/>
                    <w:contextualSpacing/>
                    <w:rPr>
                      <w:color w:val="000000" w:themeColor="text1"/>
                      <w:sz w:val="22"/>
                    </w:rPr>
                  </w:pPr>
                  <w:r w:rsidRPr="003B6A8A">
                    <w:rPr>
                      <w:color w:val="000000" w:themeColor="text1"/>
                      <w:sz w:val="22"/>
                    </w:rPr>
                    <w:t>Every</w:t>
                  </w:r>
                  <w:r w:rsidR="009B7787">
                    <w:rPr>
                      <w:color w:val="000000" w:themeColor="text1"/>
                      <w:sz w:val="22"/>
                    </w:rPr>
                    <w:t xml:space="preserve"> Friday</w:t>
                  </w:r>
                  <w:r>
                    <w:rPr>
                      <w:color w:val="000000" w:themeColor="text1"/>
                      <w:sz w:val="22"/>
                    </w:rPr>
                    <w:t xml:space="preserve"> </w:t>
                  </w:r>
                  <w:r w:rsidRPr="003B6A8A">
                    <w:rPr>
                      <w:color w:val="000000" w:themeColor="text1"/>
                      <w:sz w:val="22"/>
                    </w:rPr>
                    <w:t>in person Class (10%)</w:t>
                  </w:r>
                </w:p>
              </w:tc>
            </w:tr>
            <w:tr w:rsidR="006D3C8A" w:rsidRPr="003B6A8A" w14:paraId="1AA20380" w14:textId="77777777" w:rsidTr="00191758">
              <w:trPr>
                <w:trHeight w:val="255"/>
              </w:trPr>
              <w:tc>
                <w:tcPr>
                  <w:tcW w:w="4268" w:type="dxa"/>
                </w:tcPr>
                <w:p w14:paraId="6A0F01CF" w14:textId="77777777" w:rsidR="006D3C8A" w:rsidRPr="003B6A8A" w:rsidRDefault="006D3C8A" w:rsidP="006D3C8A">
                  <w:pPr>
                    <w:pStyle w:val="NoSpacing"/>
                    <w:contextualSpacing/>
                    <w:rPr>
                      <w:color w:val="000000" w:themeColor="text1"/>
                      <w:sz w:val="22"/>
                    </w:rPr>
                  </w:pPr>
                  <w:r>
                    <w:rPr>
                      <w:color w:val="000000" w:themeColor="text1"/>
                      <w:sz w:val="22"/>
                    </w:rPr>
                    <w:t>Presentation of your work</w:t>
                  </w:r>
                </w:p>
              </w:tc>
              <w:tc>
                <w:tcPr>
                  <w:tcW w:w="3956" w:type="dxa"/>
                </w:tcPr>
                <w:p w14:paraId="5CC55D88" w14:textId="77777777" w:rsidR="006D3C8A" w:rsidRPr="003B6A8A" w:rsidRDefault="006D3C8A" w:rsidP="006D3C8A">
                  <w:pPr>
                    <w:pStyle w:val="NoSpacing"/>
                    <w:contextualSpacing/>
                    <w:rPr>
                      <w:color w:val="000000" w:themeColor="text1"/>
                      <w:sz w:val="22"/>
                    </w:rPr>
                  </w:pPr>
                  <w:r>
                    <w:rPr>
                      <w:color w:val="000000" w:themeColor="text1"/>
                      <w:sz w:val="22"/>
                    </w:rPr>
                    <w:t>Weeks 7 through to 11 (20%)</w:t>
                  </w:r>
                </w:p>
              </w:tc>
            </w:tr>
            <w:tr w:rsidR="006D3C8A" w:rsidRPr="003B6A8A" w14:paraId="419A66CE" w14:textId="77777777" w:rsidTr="00191758">
              <w:trPr>
                <w:trHeight w:val="255"/>
              </w:trPr>
              <w:tc>
                <w:tcPr>
                  <w:tcW w:w="4268" w:type="dxa"/>
                </w:tcPr>
                <w:p w14:paraId="546CF7DA" w14:textId="77777777" w:rsidR="006D3C8A" w:rsidRPr="003B6A8A" w:rsidRDefault="006D3C8A" w:rsidP="006D3C8A">
                  <w:pPr>
                    <w:pStyle w:val="NoSpacing"/>
                    <w:contextualSpacing/>
                    <w:rPr>
                      <w:color w:val="000000" w:themeColor="text1"/>
                      <w:sz w:val="22"/>
                    </w:rPr>
                  </w:pPr>
                  <w:r w:rsidRPr="003B6A8A">
                    <w:rPr>
                      <w:color w:val="000000" w:themeColor="text1"/>
                      <w:sz w:val="22"/>
                    </w:rPr>
                    <w:t>3</w:t>
                  </w:r>
                  <w:r>
                    <w:rPr>
                      <w:color w:val="000000" w:themeColor="text1"/>
                      <w:sz w:val="22"/>
                    </w:rPr>
                    <w:t xml:space="preserve"> Reading Responses</w:t>
                  </w:r>
                </w:p>
              </w:tc>
              <w:tc>
                <w:tcPr>
                  <w:tcW w:w="3956" w:type="dxa"/>
                </w:tcPr>
                <w:p w14:paraId="736D426E" w14:textId="77777777" w:rsidR="006D3C8A" w:rsidRPr="003B6A8A" w:rsidRDefault="006D3C8A" w:rsidP="006D3C8A">
                  <w:pPr>
                    <w:pStyle w:val="NoSpacing"/>
                    <w:contextualSpacing/>
                    <w:rPr>
                      <w:color w:val="000000" w:themeColor="text1"/>
                      <w:sz w:val="22"/>
                    </w:rPr>
                  </w:pPr>
                  <w:r>
                    <w:rPr>
                      <w:color w:val="000000" w:themeColor="text1"/>
                      <w:sz w:val="22"/>
                    </w:rPr>
                    <w:t>Due weeks 3, 6 &amp; 9 (3 x 10%= 30%)</w:t>
                  </w:r>
                </w:p>
              </w:tc>
            </w:tr>
            <w:tr w:rsidR="006D3C8A" w:rsidRPr="003B6A8A" w14:paraId="160C4CCF" w14:textId="77777777" w:rsidTr="00191758">
              <w:trPr>
                <w:trHeight w:val="255"/>
              </w:trPr>
              <w:tc>
                <w:tcPr>
                  <w:tcW w:w="4268" w:type="dxa"/>
                </w:tcPr>
                <w:p w14:paraId="5B66B597" w14:textId="77777777" w:rsidR="006D3C8A" w:rsidRDefault="006D3C8A" w:rsidP="006D3C8A">
                  <w:pPr>
                    <w:pStyle w:val="NoSpacing"/>
                    <w:contextualSpacing/>
                    <w:rPr>
                      <w:color w:val="000000" w:themeColor="text1"/>
                      <w:sz w:val="22"/>
                    </w:rPr>
                  </w:pPr>
                  <w:r>
                    <w:rPr>
                      <w:color w:val="000000" w:themeColor="text1"/>
                      <w:sz w:val="22"/>
                    </w:rPr>
                    <w:t>Independent Research Project</w:t>
                  </w:r>
                </w:p>
                <w:p w14:paraId="0E514A02" w14:textId="77777777" w:rsidR="006D3C8A" w:rsidRPr="003B6A8A" w:rsidRDefault="006D3C8A" w:rsidP="006D3C8A">
                  <w:pPr>
                    <w:pStyle w:val="NoSpacing"/>
                    <w:contextualSpacing/>
                    <w:rPr>
                      <w:color w:val="000000" w:themeColor="text1"/>
                      <w:sz w:val="22"/>
                    </w:rPr>
                  </w:pPr>
                </w:p>
              </w:tc>
              <w:tc>
                <w:tcPr>
                  <w:tcW w:w="3956" w:type="dxa"/>
                </w:tcPr>
                <w:p w14:paraId="5F90F4A2" w14:textId="77777777" w:rsidR="006D3C8A" w:rsidRDefault="006D3C8A" w:rsidP="006D3C8A">
                  <w:pPr>
                    <w:pStyle w:val="NoSpacing"/>
                    <w:contextualSpacing/>
                    <w:rPr>
                      <w:color w:val="000000" w:themeColor="text1"/>
                      <w:sz w:val="22"/>
                    </w:rPr>
                  </w:pPr>
                  <w:r>
                    <w:rPr>
                      <w:color w:val="000000" w:themeColor="text1"/>
                      <w:sz w:val="22"/>
                    </w:rPr>
                    <w:t xml:space="preserve">Final Research Project Due Friday </w:t>
                  </w:r>
                </w:p>
                <w:p w14:paraId="5705D6BF" w14:textId="77777777" w:rsidR="006D3C8A" w:rsidRPr="003B6A8A" w:rsidRDefault="006D3C8A" w:rsidP="006D3C8A">
                  <w:pPr>
                    <w:pStyle w:val="NoSpacing"/>
                    <w:contextualSpacing/>
                    <w:rPr>
                      <w:color w:val="000000" w:themeColor="text1"/>
                      <w:sz w:val="22"/>
                    </w:rPr>
                  </w:pPr>
                  <w:r w:rsidRPr="003B6A8A">
                    <w:rPr>
                      <w:color w:val="000000" w:themeColor="text1"/>
                      <w:sz w:val="22"/>
                    </w:rPr>
                    <w:t>Week 12 (</w:t>
                  </w:r>
                  <w:r>
                    <w:rPr>
                      <w:color w:val="000000" w:themeColor="text1"/>
                      <w:sz w:val="22"/>
                    </w:rPr>
                    <w:t>4</w:t>
                  </w:r>
                  <w:r w:rsidRPr="003B6A8A">
                    <w:rPr>
                      <w:color w:val="000000" w:themeColor="text1"/>
                      <w:sz w:val="22"/>
                    </w:rPr>
                    <w:t xml:space="preserve">0%) </w:t>
                  </w:r>
                </w:p>
              </w:tc>
            </w:tr>
          </w:tbl>
          <w:p w14:paraId="18C60108" w14:textId="5BCEB81A" w:rsidR="0062162D" w:rsidRPr="006E0B6C" w:rsidRDefault="0062162D" w:rsidP="006D3C8A">
            <w:pPr>
              <w:tabs>
                <w:tab w:val="left" w:pos="5490"/>
              </w:tabs>
              <w:rPr>
                <w:rFonts w:cs="Times New Roman"/>
                <w:sz w:val="22"/>
              </w:rPr>
            </w:pPr>
          </w:p>
        </w:tc>
      </w:tr>
    </w:tbl>
    <w:p w14:paraId="2A9DDAF9" w14:textId="77777777" w:rsidR="00000000" w:rsidRDefault="00000000" w:rsidP="009B7787"/>
    <w:sectPr w:rsidR="00213CD7" w:rsidSect="006216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1" w15:restartNumberingAfterBreak="0">
    <w:nsid w:val="257708CB"/>
    <w:multiLevelType w:val="hybridMultilevel"/>
    <w:tmpl w:val="D87E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6021F"/>
    <w:multiLevelType w:val="hybridMultilevel"/>
    <w:tmpl w:val="1884F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4227993">
    <w:abstractNumId w:val="0"/>
  </w:num>
  <w:num w:numId="2" w16cid:durableId="2113280960">
    <w:abstractNumId w:val="3"/>
  </w:num>
  <w:num w:numId="3" w16cid:durableId="771825726">
    <w:abstractNumId w:val="2"/>
  </w:num>
  <w:num w:numId="4" w16cid:durableId="38642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153183"/>
    <w:rsid w:val="00182539"/>
    <w:rsid w:val="001F4340"/>
    <w:rsid w:val="0020057F"/>
    <w:rsid w:val="00271DB1"/>
    <w:rsid w:val="002F392D"/>
    <w:rsid w:val="00416DAF"/>
    <w:rsid w:val="00423890"/>
    <w:rsid w:val="004407C2"/>
    <w:rsid w:val="00462D71"/>
    <w:rsid w:val="0049774D"/>
    <w:rsid w:val="004A4DC9"/>
    <w:rsid w:val="004C14BF"/>
    <w:rsid w:val="005010BB"/>
    <w:rsid w:val="00532CA8"/>
    <w:rsid w:val="005578F9"/>
    <w:rsid w:val="005B6322"/>
    <w:rsid w:val="0062162D"/>
    <w:rsid w:val="00635AD2"/>
    <w:rsid w:val="00677E0E"/>
    <w:rsid w:val="006D3C8A"/>
    <w:rsid w:val="006E0B6C"/>
    <w:rsid w:val="00843C94"/>
    <w:rsid w:val="008D2983"/>
    <w:rsid w:val="009B42DA"/>
    <w:rsid w:val="009B7787"/>
    <w:rsid w:val="009C6FCA"/>
    <w:rsid w:val="00A16EA8"/>
    <w:rsid w:val="00A26620"/>
    <w:rsid w:val="00A54A5C"/>
    <w:rsid w:val="00A74C21"/>
    <w:rsid w:val="00B534BC"/>
    <w:rsid w:val="00B9143C"/>
    <w:rsid w:val="00B96271"/>
    <w:rsid w:val="00BD7A24"/>
    <w:rsid w:val="00BF1D0D"/>
    <w:rsid w:val="00BF5E96"/>
    <w:rsid w:val="00C43752"/>
    <w:rsid w:val="00C95967"/>
    <w:rsid w:val="00F21866"/>
    <w:rsid w:val="00F77174"/>
    <w:rsid w:val="00FD26EA"/>
    <w:rsid w:val="344A24D5"/>
    <w:rsid w:val="47D72A88"/>
    <w:rsid w:val="6C0E6A73"/>
    <w:rsid w:val="7CD48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999"/>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style>
  <w:style w:type="paragraph" w:styleId="NormalWeb">
    <w:name w:val="Normal (Web)"/>
    <w:basedOn w:val="Normal"/>
    <w:uiPriority w:val="99"/>
    <w:rsid w:val="0062162D"/>
    <w:pPr>
      <w:spacing w:before="100" w:beforeAutospacing="1" w:after="100" w:afterAutospacing="1"/>
    </w:pPr>
    <w:rPr>
      <w:rFonts w:ascii="Verdana" w:eastAsia="Times New Roman" w:hAnsi="Verdana" w:cs="Times New Roman"/>
      <w:szCs w:val="24"/>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407C2"/>
    <w:rPr>
      <w:rFonts w:ascii="Arial" w:eastAsia="Times New Roman" w:hAnsi="Arial" w:cs="Arial"/>
      <w:sz w:val="20"/>
      <w:szCs w:val="24"/>
      <w:lang w:val="en-US"/>
    </w:rPr>
  </w:style>
  <w:style w:type="character" w:customStyle="1" w:styleId="BodyTextChar">
    <w:name w:val="Body Text Char"/>
    <w:basedOn w:val="DefaultParagraphFont"/>
    <w:link w:val="BodyText"/>
    <w:rsid w:val="004407C2"/>
    <w:rPr>
      <w:rFonts w:ascii="Arial" w:eastAsia="Times New Roman" w:hAnsi="Arial" w:cs="Arial"/>
      <w:sz w:val="20"/>
      <w:szCs w:val="24"/>
      <w:lang w:val="en-US"/>
    </w:rPr>
  </w:style>
  <w:style w:type="character" w:styleId="Strong">
    <w:name w:val="Strong"/>
    <w:basedOn w:val="DefaultParagraphFont"/>
    <w:uiPriority w:val="22"/>
    <w:qFormat/>
    <w:rsid w:val="006E0B6C"/>
    <w:rPr>
      <w:b/>
      <w:bCs/>
    </w:rPr>
  </w:style>
  <w:style w:type="paragraph" w:customStyle="1" w:styleId="Default">
    <w:name w:val="Default"/>
    <w:rsid w:val="00182539"/>
    <w:pPr>
      <w:autoSpaceDE w:val="0"/>
      <w:autoSpaceDN w:val="0"/>
      <w:adjustRightInd w:val="0"/>
    </w:pPr>
    <w:rPr>
      <w:rFonts w:ascii="Calibri" w:eastAsia="Times New Roman" w:hAnsi="Calibri" w:cs="Calibri"/>
      <w:color w:val="000000"/>
      <w:szCs w:val="24"/>
      <w:lang w:val="en-US"/>
    </w:rPr>
  </w:style>
  <w:style w:type="paragraph" w:styleId="BodyText3">
    <w:name w:val="Body Text 3"/>
    <w:basedOn w:val="Normal"/>
    <w:link w:val="BodyText3Char"/>
    <w:uiPriority w:val="99"/>
    <w:semiHidden/>
    <w:unhideWhenUsed/>
    <w:rsid w:val="00182539"/>
    <w:pPr>
      <w:spacing w:after="120"/>
    </w:pPr>
    <w:rPr>
      <w:sz w:val="16"/>
      <w:szCs w:val="16"/>
    </w:rPr>
  </w:style>
  <w:style w:type="character" w:customStyle="1" w:styleId="BodyText3Char">
    <w:name w:val="Body Text 3 Char"/>
    <w:basedOn w:val="DefaultParagraphFont"/>
    <w:link w:val="BodyText3"/>
    <w:uiPriority w:val="99"/>
    <w:semiHidden/>
    <w:rsid w:val="00182539"/>
    <w:rPr>
      <w:sz w:val="16"/>
      <w:szCs w:val="16"/>
    </w:rPr>
  </w:style>
  <w:style w:type="paragraph" w:styleId="NoSpacing">
    <w:name w:val="No Spacing"/>
    <w:uiPriority w:val="1"/>
    <w:qFormat/>
    <w:rsid w:val="006D3C8A"/>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86706">
      <w:bodyDiv w:val="1"/>
      <w:marLeft w:val="0"/>
      <w:marRight w:val="0"/>
      <w:marTop w:val="0"/>
      <w:marBottom w:val="0"/>
      <w:divBdr>
        <w:top w:val="none" w:sz="0" w:space="0" w:color="auto"/>
        <w:left w:val="none" w:sz="0" w:space="0" w:color="auto"/>
        <w:bottom w:val="none" w:sz="0" w:space="0" w:color="auto"/>
        <w:right w:val="none" w:sz="0" w:space="0" w:color="auto"/>
      </w:divBdr>
    </w:div>
    <w:div w:id="1779912753">
      <w:bodyDiv w:val="1"/>
      <w:marLeft w:val="0"/>
      <w:marRight w:val="0"/>
      <w:marTop w:val="0"/>
      <w:marBottom w:val="0"/>
      <w:divBdr>
        <w:top w:val="none" w:sz="0" w:space="0" w:color="auto"/>
        <w:left w:val="none" w:sz="0" w:space="0" w:color="auto"/>
        <w:bottom w:val="none" w:sz="0" w:space="0" w:color="auto"/>
        <w:right w:val="none" w:sz="0" w:space="0" w:color="auto"/>
      </w:divBdr>
    </w:div>
    <w:div w:id="21002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309c9-d943-48ba-8085-17490a25ca1e">
      <Terms xmlns="http://schemas.microsoft.com/office/infopath/2007/PartnerControls"/>
    </lcf76f155ced4ddcb4097134ff3c332f>
    <TaxCatchAll xmlns="314d6309-e6ea-4647-93e8-859c97572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2976A53D3EA44BA71A6E68B6181A5" ma:contentTypeVersion="16" ma:contentTypeDescription="Create a new document." ma:contentTypeScope="" ma:versionID="0eb552c03f18615d9acf374a2d69ffac">
  <xsd:schema xmlns:xsd="http://www.w3.org/2001/XMLSchema" xmlns:xs="http://www.w3.org/2001/XMLSchema" xmlns:p="http://schemas.microsoft.com/office/2006/metadata/properties" xmlns:ns2="d79309c9-d943-48ba-8085-17490a25ca1e" xmlns:ns3="314d6309-e6ea-4647-93e8-859c97572efd" targetNamespace="http://schemas.microsoft.com/office/2006/metadata/properties" ma:root="true" ma:fieldsID="2a91f1f1fec61cf34c5b660091be0bf7" ns2:_="" ns3:_="">
    <xsd:import namespace="d79309c9-d943-48ba-8085-17490a25ca1e"/>
    <xsd:import namespace="314d6309-e6ea-4647-93e8-859c97572e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309c9-d943-48ba-8085-17490a25c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4d6309-e6ea-4647-93e8-859c97572e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a0d19d-f015-4d3a-8a7b-8e69b91a991d}" ma:internalName="TaxCatchAll" ma:showField="CatchAllData" ma:web="314d6309-e6ea-4647-93e8-859c97572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8D961-AF8E-42FF-82EB-2CD86A4D46DB}">
  <ds:schemaRefs>
    <ds:schemaRef ds:uri="http://schemas.microsoft.com/office/2006/metadata/properties"/>
    <ds:schemaRef ds:uri="http://schemas.microsoft.com/office/infopath/2007/PartnerControls"/>
    <ds:schemaRef ds:uri="d79309c9-d943-48ba-8085-17490a25ca1e"/>
    <ds:schemaRef ds:uri="314d6309-e6ea-4647-93e8-859c97572efd"/>
  </ds:schemaRefs>
</ds:datastoreItem>
</file>

<file path=customXml/itemProps2.xml><?xml version="1.0" encoding="utf-8"?>
<ds:datastoreItem xmlns:ds="http://schemas.openxmlformats.org/officeDocument/2006/customXml" ds:itemID="{9CF0D401-ECFC-4DAE-80AF-E356925D621E}">
  <ds:schemaRefs>
    <ds:schemaRef ds:uri="http://schemas.microsoft.com/sharepoint/v3/contenttype/forms"/>
  </ds:schemaRefs>
</ds:datastoreItem>
</file>

<file path=customXml/itemProps3.xml><?xml version="1.0" encoding="utf-8"?>
<ds:datastoreItem xmlns:ds="http://schemas.openxmlformats.org/officeDocument/2006/customXml" ds:itemID="{C25B4E5A-E8F7-4B6B-B298-FD51DF0C6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309c9-d943-48ba-8085-17490a25ca1e"/>
    <ds:schemaRef ds:uri="314d6309-e6ea-4647-93e8-859c97572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Jarena Lee</cp:lastModifiedBy>
  <cp:revision>2</cp:revision>
  <dcterms:created xsi:type="dcterms:W3CDTF">2023-08-09T18:23:00Z</dcterms:created>
  <dcterms:modified xsi:type="dcterms:W3CDTF">2023-08-09T18:23:00Z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0x010100E922976A53D3EA44BA71A6E68B6181A5</vt:lpwstr>
  </property>
  <property fmtid="{D5CDD505-2E9C-101B-9397-08002B2CF9AE}" pid="3" name="MediaServiceImageTags">
    <vt:lpwstr/>
  </property>
</Properties>
</file>