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72C8E" w14:textId="5B9AD622" w:rsidR="00F377BE" w:rsidRPr="008E444B" w:rsidRDefault="00F377BE" w:rsidP="00F377BE">
      <w:pPr>
        <w:rPr>
          <w:rFonts w:asciiTheme="minorHAnsi" w:hAnsiTheme="minorHAnsi"/>
          <w:sz w:val="36"/>
          <w:szCs w:val="36"/>
        </w:rPr>
      </w:pPr>
      <w:r w:rsidRPr="008E444B">
        <w:rPr>
          <w:rFonts w:asciiTheme="minorHAnsi" w:hAnsiTheme="minorHAnsi"/>
          <w:sz w:val="36"/>
          <w:szCs w:val="36"/>
          <w:u w:val="single"/>
        </w:rPr>
        <w:t>QFIR Sample Submittal Protocols</w:t>
      </w:r>
      <w:r w:rsidRPr="008E444B">
        <w:rPr>
          <w:rFonts w:asciiTheme="minorHAnsi" w:hAnsiTheme="minorHAnsi"/>
          <w:sz w:val="36"/>
          <w:szCs w:val="36"/>
        </w:rPr>
        <w:t>:</w:t>
      </w:r>
    </w:p>
    <w:p w14:paraId="4ED5485C" w14:textId="77777777" w:rsidR="00F377BE" w:rsidRPr="008E444B" w:rsidRDefault="00F377BE" w:rsidP="00F377BE">
      <w:pPr>
        <w:rPr>
          <w:rFonts w:asciiTheme="minorHAnsi" w:hAnsiTheme="minorHAnsi"/>
          <w:szCs w:val="24"/>
        </w:rPr>
      </w:pPr>
    </w:p>
    <w:p w14:paraId="6745C62A" w14:textId="77777777" w:rsidR="00F377BE" w:rsidRPr="008E444B" w:rsidRDefault="00F377BE" w:rsidP="00F377BE">
      <w:pPr>
        <w:jc w:val="both"/>
        <w:rPr>
          <w:rFonts w:asciiTheme="minorHAnsi" w:hAnsiTheme="minorHAnsi"/>
          <w:szCs w:val="24"/>
        </w:rPr>
      </w:pPr>
      <w:r w:rsidRPr="008E444B">
        <w:rPr>
          <w:rFonts w:asciiTheme="minorHAnsi" w:hAnsiTheme="minorHAnsi"/>
          <w:szCs w:val="24"/>
        </w:rPr>
        <w:t xml:space="preserve">Please be both concise and detailed regarding the following with your application for proposed research.  The QFIR does not have an open-door policy.  As such, </w:t>
      </w:r>
      <w:r w:rsidRPr="006F02A7">
        <w:rPr>
          <w:rFonts w:asciiTheme="minorHAnsi" w:hAnsiTheme="minorHAnsi"/>
          <w:b/>
          <w:bCs/>
          <w:szCs w:val="24"/>
        </w:rPr>
        <w:t>all requests will be reviewed by directors</w:t>
      </w:r>
      <w:r w:rsidRPr="008E444B">
        <w:rPr>
          <w:rFonts w:asciiTheme="minorHAnsi" w:hAnsiTheme="minorHAnsi"/>
          <w:szCs w:val="24"/>
        </w:rPr>
        <w:t xml:space="preserve"> Drs. Daniel Layton-Matthews, Matthew </w:t>
      </w:r>
      <w:proofErr w:type="spellStart"/>
      <w:r w:rsidRPr="008E444B">
        <w:rPr>
          <w:rFonts w:asciiTheme="minorHAnsi" w:hAnsiTheme="minorHAnsi"/>
          <w:szCs w:val="24"/>
        </w:rPr>
        <w:t>Leybourne</w:t>
      </w:r>
      <w:proofErr w:type="spellEnd"/>
      <w:r w:rsidRPr="008E444B">
        <w:rPr>
          <w:rFonts w:asciiTheme="minorHAnsi" w:hAnsiTheme="minorHAnsi"/>
          <w:szCs w:val="24"/>
        </w:rPr>
        <w:t xml:space="preserve"> and/or </w:t>
      </w:r>
      <w:proofErr w:type="spellStart"/>
      <w:r w:rsidRPr="008E444B">
        <w:rPr>
          <w:rFonts w:asciiTheme="minorHAnsi" w:hAnsiTheme="minorHAnsi"/>
          <w:szCs w:val="24"/>
        </w:rPr>
        <w:t>Peir</w:t>
      </w:r>
      <w:proofErr w:type="spellEnd"/>
      <w:r w:rsidRPr="008E444B">
        <w:rPr>
          <w:rFonts w:asciiTheme="minorHAnsi" w:hAnsiTheme="minorHAnsi"/>
          <w:szCs w:val="24"/>
        </w:rPr>
        <w:t xml:space="preserve"> </w:t>
      </w:r>
      <w:proofErr w:type="spellStart"/>
      <w:r w:rsidRPr="008E444B">
        <w:rPr>
          <w:rFonts w:asciiTheme="minorHAnsi" w:hAnsiTheme="minorHAnsi"/>
          <w:szCs w:val="24"/>
        </w:rPr>
        <w:t>Pufahl</w:t>
      </w:r>
      <w:proofErr w:type="spellEnd"/>
      <w:r w:rsidRPr="008E444B">
        <w:rPr>
          <w:rFonts w:asciiTheme="minorHAnsi" w:hAnsiTheme="minorHAnsi"/>
          <w:szCs w:val="24"/>
        </w:rPr>
        <w:t xml:space="preserve"> prior to being accepted into the QFIR.  Please provide the following:   </w:t>
      </w:r>
    </w:p>
    <w:p w14:paraId="7AD023CD" w14:textId="77777777" w:rsidR="00F377BE" w:rsidRPr="008E444B" w:rsidRDefault="00F377BE" w:rsidP="00F377BE">
      <w:pPr>
        <w:jc w:val="both"/>
        <w:rPr>
          <w:rFonts w:asciiTheme="minorHAnsi" w:hAnsiTheme="minorHAnsi"/>
          <w:szCs w:val="24"/>
        </w:rPr>
      </w:pPr>
    </w:p>
    <w:p w14:paraId="1DFA7AEB" w14:textId="77777777" w:rsidR="00F377BE" w:rsidRPr="008E444B" w:rsidRDefault="00F377BE" w:rsidP="00F377BE">
      <w:pPr>
        <w:pStyle w:val="ListParagraph"/>
        <w:numPr>
          <w:ilvl w:val="0"/>
          <w:numId w:val="1"/>
        </w:numPr>
        <w:ind w:left="0"/>
        <w:jc w:val="both"/>
      </w:pPr>
      <w:r w:rsidRPr="008E444B">
        <w:t>Type of analyses (isotope(s) or isotope system(s) of interest, precision required, method) requested.</w:t>
      </w:r>
    </w:p>
    <w:p w14:paraId="2D4A3E32" w14:textId="77777777" w:rsidR="00F377BE" w:rsidRPr="008E444B" w:rsidRDefault="00F377BE" w:rsidP="00F377BE">
      <w:pPr>
        <w:pStyle w:val="ListParagraph"/>
        <w:ind w:left="0"/>
        <w:jc w:val="both"/>
      </w:pPr>
    </w:p>
    <w:p w14:paraId="1440E02E" w14:textId="77777777" w:rsidR="00F377BE" w:rsidRPr="008E444B" w:rsidRDefault="00F377BE" w:rsidP="00F377BE">
      <w:pPr>
        <w:pStyle w:val="ListParagraph"/>
        <w:numPr>
          <w:ilvl w:val="0"/>
          <w:numId w:val="1"/>
        </w:numPr>
        <w:ind w:left="0"/>
        <w:jc w:val="both"/>
      </w:pPr>
      <w:r w:rsidRPr="008E444B">
        <w:t>Number and type of samples to be submitted.</w:t>
      </w:r>
    </w:p>
    <w:p w14:paraId="17E4FA4A" w14:textId="77777777" w:rsidR="00F377BE" w:rsidRPr="008E444B" w:rsidRDefault="00F377BE" w:rsidP="00F377BE">
      <w:pPr>
        <w:jc w:val="both"/>
        <w:rPr>
          <w:rFonts w:asciiTheme="minorHAnsi" w:hAnsiTheme="minorHAnsi"/>
          <w:szCs w:val="24"/>
        </w:rPr>
      </w:pPr>
    </w:p>
    <w:p w14:paraId="4662977D" w14:textId="77777777" w:rsidR="00F377BE" w:rsidRPr="008E444B" w:rsidRDefault="00F377BE" w:rsidP="00F377BE">
      <w:pPr>
        <w:pStyle w:val="ListParagraph"/>
        <w:numPr>
          <w:ilvl w:val="0"/>
          <w:numId w:val="1"/>
        </w:numPr>
        <w:ind w:left="0"/>
        <w:jc w:val="both"/>
      </w:pPr>
      <w:r w:rsidRPr="008E444B">
        <w:t>Purpose, nature, application and feasibility of the proposed research (all research projects must have an applied potential).</w:t>
      </w:r>
    </w:p>
    <w:p w14:paraId="4F5A6F80" w14:textId="77777777" w:rsidR="00F377BE" w:rsidRPr="008E444B" w:rsidRDefault="00F377BE" w:rsidP="00F377BE">
      <w:pPr>
        <w:jc w:val="both"/>
        <w:rPr>
          <w:rFonts w:asciiTheme="minorHAnsi" w:hAnsiTheme="minorHAnsi"/>
          <w:szCs w:val="24"/>
        </w:rPr>
      </w:pPr>
    </w:p>
    <w:p w14:paraId="5B745A37" w14:textId="77777777" w:rsidR="00F377BE" w:rsidRPr="008E444B" w:rsidRDefault="00F377BE" w:rsidP="00F377BE">
      <w:pPr>
        <w:pStyle w:val="ListParagraph"/>
        <w:numPr>
          <w:ilvl w:val="0"/>
          <w:numId w:val="1"/>
        </w:numPr>
        <w:ind w:left="0"/>
        <w:jc w:val="both"/>
      </w:pPr>
      <w:r w:rsidRPr="008E444B">
        <w:t>Indicate the researcher, including as applicable: student, faculty, institution and whether the work is collaborative or non-collaborative. All collaborative work, including contributions and expected turnaround times, must be agreed to in writing prior to commencement of analyses.</w:t>
      </w:r>
    </w:p>
    <w:p w14:paraId="19B5CC38" w14:textId="77777777" w:rsidR="00F377BE" w:rsidRPr="008E444B" w:rsidRDefault="00F377BE" w:rsidP="00F377BE">
      <w:pPr>
        <w:jc w:val="both"/>
        <w:rPr>
          <w:rFonts w:asciiTheme="minorHAnsi" w:hAnsiTheme="minorHAnsi"/>
          <w:szCs w:val="24"/>
        </w:rPr>
      </w:pPr>
    </w:p>
    <w:p w14:paraId="6E684AD2" w14:textId="77777777" w:rsidR="00F377BE" w:rsidRPr="008E444B" w:rsidRDefault="00F377BE" w:rsidP="00F377BE">
      <w:pPr>
        <w:pStyle w:val="ListParagraph"/>
        <w:numPr>
          <w:ilvl w:val="0"/>
          <w:numId w:val="1"/>
        </w:numPr>
        <w:ind w:left="0"/>
        <w:jc w:val="both"/>
      </w:pPr>
      <w:r w:rsidRPr="008E444B">
        <w:t>Indicate if research is related to academic, government, commercial laboratory or industry projects.</w:t>
      </w:r>
    </w:p>
    <w:p w14:paraId="320B4942" w14:textId="77777777" w:rsidR="00F377BE" w:rsidRPr="008E444B" w:rsidRDefault="00F377BE" w:rsidP="00F377BE">
      <w:pPr>
        <w:jc w:val="both"/>
        <w:rPr>
          <w:rFonts w:asciiTheme="minorHAnsi" w:hAnsiTheme="minorHAnsi"/>
          <w:szCs w:val="24"/>
        </w:rPr>
      </w:pPr>
    </w:p>
    <w:p w14:paraId="76064343" w14:textId="77777777" w:rsidR="00F377BE" w:rsidRPr="008E444B" w:rsidRDefault="00F377BE" w:rsidP="00F377BE">
      <w:pPr>
        <w:pStyle w:val="ListParagraph"/>
        <w:numPr>
          <w:ilvl w:val="0"/>
          <w:numId w:val="1"/>
        </w:numPr>
        <w:ind w:left="0"/>
        <w:jc w:val="both"/>
      </w:pPr>
      <w:r w:rsidRPr="008E444B">
        <w:t>Indicate if the results are expected to be published in the primary literature.</w:t>
      </w:r>
    </w:p>
    <w:p w14:paraId="694F5CD2" w14:textId="77777777" w:rsidR="00F377BE" w:rsidRPr="008E444B" w:rsidRDefault="00F377BE" w:rsidP="00F377BE">
      <w:pPr>
        <w:jc w:val="both"/>
        <w:rPr>
          <w:rFonts w:asciiTheme="minorHAnsi" w:hAnsiTheme="minorHAnsi"/>
          <w:szCs w:val="24"/>
        </w:rPr>
      </w:pPr>
    </w:p>
    <w:p w14:paraId="24A8CB51" w14:textId="77777777" w:rsidR="00F377BE" w:rsidRPr="008E444B" w:rsidRDefault="00F377BE" w:rsidP="00F377BE">
      <w:pPr>
        <w:pStyle w:val="ListParagraph"/>
        <w:numPr>
          <w:ilvl w:val="0"/>
          <w:numId w:val="1"/>
        </w:numPr>
        <w:ind w:left="0"/>
        <w:jc w:val="both"/>
      </w:pPr>
      <w:r w:rsidRPr="008E444B">
        <w:t>Samples must be prioritized for subsequent analyses. All submittals must be accompanied by chemical assessment and screening and provided by the requestor prior to being accepted in order for laboratory personnel to determine and best prepare samples for analytical methods and procedures; if such information cannot be provided, QFIR reserves the right to run a few tests on select samples before determining whether the analyses are feasible. Charging for these tests is at the discretion of QFIR direction.</w:t>
      </w:r>
    </w:p>
    <w:p w14:paraId="7A8CB2E5" w14:textId="77777777" w:rsidR="00F377BE" w:rsidRPr="008E444B" w:rsidRDefault="00F377BE" w:rsidP="00F377BE">
      <w:pPr>
        <w:jc w:val="both"/>
        <w:rPr>
          <w:rFonts w:asciiTheme="minorHAnsi" w:hAnsiTheme="minorHAnsi"/>
          <w:szCs w:val="24"/>
        </w:rPr>
      </w:pPr>
    </w:p>
    <w:p w14:paraId="02B7FE8B" w14:textId="77777777" w:rsidR="00F377BE" w:rsidRPr="008E444B" w:rsidRDefault="00F377BE" w:rsidP="00F377BE">
      <w:pPr>
        <w:pStyle w:val="ListParagraph"/>
        <w:numPr>
          <w:ilvl w:val="0"/>
          <w:numId w:val="1"/>
        </w:numPr>
        <w:ind w:left="0"/>
        <w:jc w:val="both"/>
      </w:pPr>
      <w:r w:rsidRPr="008E444B">
        <w:t>General turnaround times for analyses are typically 4-6 weeks from the date of sample receipt; this is subject to great variability however, depending on number and type of analyses requested, current workload, and instrument maintenance requirements.</w:t>
      </w:r>
    </w:p>
    <w:p w14:paraId="67ACDE01" w14:textId="77777777" w:rsidR="00F377BE" w:rsidRPr="008E444B" w:rsidRDefault="00F377BE" w:rsidP="00F377BE">
      <w:pPr>
        <w:pStyle w:val="ListParagraph"/>
        <w:ind w:left="0"/>
        <w:jc w:val="both"/>
      </w:pPr>
    </w:p>
    <w:p w14:paraId="6DCDBF74" w14:textId="77777777" w:rsidR="00F377BE" w:rsidRPr="008E444B" w:rsidRDefault="00F377BE" w:rsidP="00F377BE">
      <w:pPr>
        <w:pStyle w:val="ListParagraph"/>
        <w:numPr>
          <w:ilvl w:val="0"/>
          <w:numId w:val="1"/>
        </w:numPr>
        <w:ind w:left="0"/>
        <w:jc w:val="both"/>
      </w:pPr>
      <w:r w:rsidRPr="008E444B">
        <w:t>Consultation of results can be provided at a fee, and at the discretion of QFIR direction.</w:t>
      </w:r>
    </w:p>
    <w:p w14:paraId="0936B5FC" w14:textId="77777777" w:rsidR="00F377BE" w:rsidRPr="008E444B" w:rsidRDefault="00F377BE" w:rsidP="00F377BE">
      <w:pPr>
        <w:jc w:val="both"/>
        <w:rPr>
          <w:rFonts w:asciiTheme="minorHAnsi" w:hAnsiTheme="minorHAnsi"/>
          <w:szCs w:val="24"/>
        </w:rPr>
      </w:pPr>
    </w:p>
    <w:p w14:paraId="14F03996" w14:textId="6C40768A" w:rsidR="003D358D" w:rsidRDefault="00F377BE" w:rsidP="00463266">
      <w:pPr>
        <w:jc w:val="both"/>
      </w:pPr>
      <w:bookmarkStart w:id="0" w:name="_GoBack"/>
      <w:bookmarkEnd w:id="0"/>
      <w:r w:rsidRPr="008E444B">
        <w:t xml:space="preserve">Please check the fee schedule at: </w:t>
      </w:r>
      <w:r w:rsidR="00463266" w:rsidRPr="00463266">
        <w:t>https://www.queensu.ca/isotope-research/prices</w:t>
      </w:r>
    </w:p>
    <w:sectPr w:rsidR="003D358D" w:rsidSect="004813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3033A"/>
    <w:multiLevelType w:val="hybridMultilevel"/>
    <w:tmpl w:val="1A6CE92E"/>
    <w:lvl w:ilvl="0" w:tplc="5538B9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BE"/>
    <w:rsid w:val="003D358D"/>
    <w:rsid w:val="00463266"/>
    <w:rsid w:val="004813F7"/>
    <w:rsid w:val="00BA3C1C"/>
    <w:rsid w:val="00F37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0537"/>
  <w15:chartTrackingRefBased/>
  <w15:docId w15:val="{989EDEEA-1F85-344A-8ADC-4974C582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7BE"/>
    <w:rPr>
      <w:rFonts w:ascii="Arial" w:eastAsia="SimSu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77BE"/>
    <w:rPr>
      <w:color w:val="0000FF"/>
      <w:u w:val="single"/>
    </w:rPr>
  </w:style>
  <w:style w:type="paragraph" w:styleId="ListParagraph">
    <w:name w:val="List Paragraph"/>
    <w:basedOn w:val="Normal"/>
    <w:uiPriority w:val="34"/>
    <w:qFormat/>
    <w:rsid w:val="00F377BE"/>
    <w:pPr>
      <w:ind w:left="720"/>
      <w:contextualSpacing/>
    </w:pPr>
    <w:rPr>
      <w:rFonts w:asciiTheme="minorHAnsi" w:eastAsiaTheme="minorHAnsi" w:hAnsiTheme="minorHAnsi" w:cstheme="minorBidi"/>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Fir</dc:creator>
  <cp:keywords/>
  <dc:description/>
  <cp:lastModifiedBy>Agatha Dobosz</cp:lastModifiedBy>
  <cp:revision>2</cp:revision>
  <dcterms:created xsi:type="dcterms:W3CDTF">2019-12-17T15:50:00Z</dcterms:created>
  <dcterms:modified xsi:type="dcterms:W3CDTF">2022-04-29T15:48:00Z</dcterms:modified>
</cp:coreProperties>
</file>