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77802656"/>
        <w:docPartObj>
          <w:docPartGallery w:val="Cover Pages"/>
          <w:docPartUnique/>
        </w:docPartObj>
      </w:sdtPr>
      <w:sdtEndPr>
        <w:rPr>
          <w:rFonts w:eastAsia="Times New Roman" w:cs="Arial"/>
          <w:color w:val="333333"/>
          <w:sz w:val="24"/>
          <w:szCs w:val="24"/>
        </w:rPr>
      </w:sdtEndPr>
      <w:sdtContent>
        <w:p w14:paraId="648D1C8B" w14:textId="77777777" w:rsidR="00FE1229" w:rsidRDefault="00FE1229" w:rsidP="00DE3CCD">
          <w:pPr>
            <w:spacing w:line="240" w:lineRule="auto"/>
          </w:pPr>
          <w:r>
            <w:rPr>
              <w:noProof/>
              <w:lang w:val="en-CA" w:eastAsia="en-CA"/>
            </w:rPr>
            <mc:AlternateContent>
              <mc:Choice Requires="wps">
                <w:drawing>
                  <wp:anchor distT="0" distB="0" distL="114300" distR="114300" simplePos="0" relativeHeight="251664384" behindDoc="0" locked="0" layoutInCell="1" allowOverlap="1" wp14:anchorId="1EE3E389" wp14:editId="279CD05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A274D7F" w14:textId="77777777" w:rsidR="00D769FA" w:rsidRPr="0034373D" w:rsidRDefault="00D769FA">
                                <w:pPr>
                                  <w:pStyle w:val="NoSpacing"/>
                                  <w:rPr>
                                    <w:noProof/>
                                    <w:color w:val="44546A" w:themeColor="text2"/>
                                    <w:lang w:val="en-CA"/>
                                  </w:rPr>
                                </w:pPr>
                                <w:r>
                                  <w:rPr>
                                    <w:noProof/>
                                    <w:color w:val="44546A" w:themeColor="text2"/>
                                    <w:lang w:val="en-CA"/>
                                  </w:rPr>
                                  <w:t>July 2016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EE3E389"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3A274D7F" w14:textId="77777777" w:rsidR="00D769FA" w:rsidRPr="0034373D" w:rsidRDefault="00D769FA">
                          <w:pPr>
                            <w:pStyle w:val="NoSpacing"/>
                            <w:rPr>
                              <w:noProof/>
                              <w:color w:val="44546A" w:themeColor="text2"/>
                              <w:lang w:val="en-CA"/>
                            </w:rPr>
                          </w:pPr>
                          <w:r>
                            <w:rPr>
                              <w:noProof/>
                              <w:color w:val="44546A" w:themeColor="text2"/>
                              <w:lang w:val="en-CA"/>
                            </w:rPr>
                            <w:t>July 2016</w:t>
                          </w:r>
                        </w:p>
                      </w:txbxContent>
                    </v:textbox>
                    <w10:wrap type="square" anchorx="page" anchory="page"/>
                  </v:shape>
                </w:pict>
              </mc:Fallback>
            </mc:AlternateContent>
          </w:r>
          <w:r>
            <w:rPr>
              <w:noProof/>
              <w:lang w:val="en-CA" w:eastAsia="en-CA"/>
            </w:rPr>
            <mc:AlternateContent>
              <mc:Choice Requires="wps">
                <w:drawing>
                  <wp:anchor distT="0" distB="0" distL="114300" distR="114300" simplePos="0" relativeHeight="251663360" behindDoc="1" locked="0" layoutInCell="1" allowOverlap="1" wp14:anchorId="45F27892" wp14:editId="02084B64">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675D684" w14:textId="77777777" w:rsidR="00D769FA" w:rsidRDefault="00D769F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5F27892"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fillcolor="#deeaf6 [660]" stroked="f" strokeweight="1pt">
                    <v:fill color2="#9cc2e5 [1940]" rotate="t" focus="100%" type="gradient">
                      <o:fill v:ext="view" type="gradientUnscaled"/>
                    </v:fill>
                    <v:path arrowok="t"/>
                    <v:textbox inset="21.6pt,,21.6pt">
                      <w:txbxContent>
                        <w:p w14:paraId="3675D684" w14:textId="77777777" w:rsidR="00D769FA" w:rsidRDefault="00D769FA"/>
                      </w:txbxContent>
                    </v:textbox>
                    <w10:wrap anchorx="page" anchory="page"/>
                  </v:rect>
                </w:pict>
              </mc:Fallback>
            </mc:AlternateContent>
          </w:r>
          <w:r>
            <w:rPr>
              <w:noProof/>
              <w:lang w:val="en-CA" w:eastAsia="en-CA"/>
            </w:rPr>
            <mc:AlternateContent>
              <mc:Choice Requires="wps">
                <w:drawing>
                  <wp:anchor distT="0" distB="0" distL="114300" distR="114300" simplePos="0" relativeHeight="251660288" behindDoc="0" locked="0" layoutInCell="1" allowOverlap="1" wp14:anchorId="1340E059" wp14:editId="3AEB5F7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720404" w14:textId="77777777" w:rsidR="00D769FA" w:rsidRDefault="00192695">
                                <w:pPr>
                                  <w:spacing w:before="240"/>
                                  <w:jc w:val="center"/>
                                  <w:rPr>
                                    <w:color w:val="FFFFFF" w:themeColor="background1"/>
                                  </w:rPr>
                                </w:pPr>
                                <w:sdt>
                                  <w:sdtPr>
                                    <w:rPr>
                                      <w:i/>
                                      <w:color w:val="FFFFFF" w:themeColor="background1"/>
                                    </w:rPr>
                                    <w:alias w:val="Abstract"/>
                                    <w:id w:val="2042855537"/>
                                    <w:dataBinding w:prefixMappings="xmlns:ns0='http://schemas.microsoft.com/office/2006/coverPageProps'" w:xpath="/ns0:CoverPageProperties[1]/ns0:Abstract[1]" w:storeItemID="{55AF091B-3C7A-41E3-B477-F2FDAA23CFDA}"/>
                                    <w:text/>
                                  </w:sdtPr>
                                  <w:sdtEndPr/>
                                  <w:sdtContent>
                                    <w:r w:rsidR="00D769FA">
                                      <w:rPr>
                                        <w:i/>
                                        <w:color w:val="FFFFFF" w:themeColor="background1"/>
                                      </w:rPr>
                                      <w:t xml:space="preserve">There </w:t>
                                    </w:r>
                                    <w:r w:rsidR="00D769FA" w:rsidRPr="00FE1229">
                                      <w:rPr>
                                        <w:i/>
                                        <w:color w:val="FFFFFF" w:themeColor="background1"/>
                                      </w:rPr>
                                      <w:t xml:space="preserve">exists the need for </w:t>
                                    </w:r>
                                    <w:r w:rsidR="00D769FA">
                                      <w:rPr>
                                        <w:i/>
                                        <w:color w:val="FFFFFF" w:themeColor="background1"/>
                                      </w:rPr>
                                      <w:t xml:space="preserve">a strategic approach for </w:t>
                                    </w:r>
                                    <w:r w:rsidR="00D769FA" w:rsidRPr="00FE1229">
                                      <w:rPr>
                                        <w:i/>
                                        <w:color w:val="FFFFFF" w:themeColor="background1"/>
                                      </w:rPr>
                                      <w:t>So</w:t>
                                    </w:r>
                                    <w:r w:rsidR="00D769FA">
                                      <w:rPr>
                                        <w:i/>
                                        <w:color w:val="FFFFFF" w:themeColor="background1"/>
                                      </w:rPr>
                                      <w:t>ftware Licensing Management</w:t>
                                    </w:r>
                                    <w:r w:rsidR="00D769FA" w:rsidRPr="00FE1229">
                                      <w:rPr>
                                        <w:i/>
                                        <w:color w:val="FFFFFF" w:themeColor="background1"/>
                                      </w:rPr>
                                      <w:t xml:space="preserve"> at Queen’s University to ensure the appropriate tools required for teaching, learning and research are available to the academy in the most cost effective manner.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1340E059"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14:paraId="04720404" w14:textId="77777777" w:rsidR="00D769FA" w:rsidRDefault="00192695">
                          <w:pPr>
                            <w:spacing w:before="240"/>
                            <w:jc w:val="center"/>
                            <w:rPr>
                              <w:color w:val="FFFFFF" w:themeColor="background1"/>
                            </w:rPr>
                          </w:pPr>
                          <w:sdt>
                            <w:sdtPr>
                              <w:rPr>
                                <w:i/>
                                <w:color w:val="FFFFFF" w:themeColor="background1"/>
                              </w:rPr>
                              <w:alias w:val="Abstract"/>
                              <w:id w:val="2042855537"/>
                              <w:dataBinding w:prefixMappings="xmlns:ns0='http://schemas.microsoft.com/office/2006/coverPageProps'" w:xpath="/ns0:CoverPageProperties[1]/ns0:Abstract[1]" w:storeItemID="{55AF091B-3C7A-41E3-B477-F2FDAA23CFDA}"/>
                              <w:text/>
                            </w:sdtPr>
                            <w:sdtEndPr/>
                            <w:sdtContent>
                              <w:r w:rsidR="00D769FA">
                                <w:rPr>
                                  <w:i/>
                                  <w:color w:val="FFFFFF" w:themeColor="background1"/>
                                </w:rPr>
                                <w:t xml:space="preserve">There </w:t>
                              </w:r>
                              <w:r w:rsidR="00D769FA" w:rsidRPr="00FE1229">
                                <w:rPr>
                                  <w:i/>
                                  <w:color w:val="FFFFFF" w:themeColor="background1"/>
                                </w:rPr>
                                <w:t xml:space="preserve">exists the need for </w:t>
                              </w:r>
                              <w:r w:rsidR="00D769FA">
                                <w:rPr>
                                  <w:i/>
                                  <w:color w:val="FFFFFF" w:themeColor="background1"/>
                                </w:rPr>
                                <w:t xml:space="preserve">a strategic approach for </w:t>
                              </w:r>
                              <w:r w:rsidR="00D769FA" w:rsidRPr="00FE1229">
                                <w:rPr>
                                  <w:i/>
                                  <w:color w:val="FFFFFF" w:themeColor="background1"/>
                                </w:rPr>
                                <w:t>So</w:t>
                              </w:r>
                              <w:r w:rsidR="00D769FA">
                                <w:rPr>
                                  <w:i/>
                                  <w:color w:val="FFFFFF" w:themeColor="background1"/>
                                </w:rPr>
                                <w:t>ftware Licensing Management</w:t>
                              </w:r>
                              <w:r w:rsidR="00D769FA" w:rsidRPr="00FE1229">
                                <w:rPr>
                                  <w:i/>
                                  <w:color w:val="FFFFFF" w:themeColor="background1"/>
                                </w:rPr>
                                <w:t xml:space="preserve"> at Queen’s University to ensure the appropriate tools required for teaching, learning and research are available to the academy in the most cost effective manner.  </w:t>
                              </w:r>
                            </w:sdtContent>
                          </w:sdt>
                        </w:p>
                      </w:txbxContent>
                    </v:textbox>
                    <w10:wrap anchorx="page" anchory="page"/>
                  </v:rect>
                </w:pict>
              </mc:Fallback>
            </mc:AlternateContent>
          </w:r>
          <w:r>
            <w:rPr>
              <w:noProof/>
              <w:lang w:val="en-CA" w:eastAsia="en-CA"/>
            </w:rPr>
            <mc:AlternateContent>
              <mc:Choice Requires="wps">
                <w:drawing>
                  <wp:anchor distT="0" distB="0" distL="114300" distR="114300" simplePos="0" relativeHeight="251659264" behindDoc="0" locked="0" layoutInCell="1" allowOverlap="1" wp14:anchorId="72BA64B8" wp14:editId="73B6D6C9">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2304405"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lang w:val="en-CA" w:eastAsia="en-CA"/>
            </w:rPr>
            <mc:AlternateContent>
              <mc:Choice Requires="wps">
                <w:drawing>
                  <wp:anchor distT="0" distB="0" distL="114300" distR="114300" simplePos="0" relativeHeight="251662336" behindDoc="0" locked="0" layoutInCell="1" allowOverlap="1" wp14:anchorId="485AC53F" wp14:editId="5D4DCED6">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1F2870C"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5b9bd5 [3204]" stroked="f" strokeweight="1pt">
                    <w10:wrap anchorx="page" anchory="page"/>
                  </v:rect>
                </w:pict>
              </mc:Fallback>
            </mc:AlternateContent>
          </w:r>
          <w:r>
            <w:rPr>
              <w:noProof/>
              <w:lang w:val="en-CA" w:eastAsia="en-CA"/>
            </w:rPr>
            <mc:AlternateContent>
              <mc:Choice Requires="wps">
                <w:drawing>
                  <wp:anchor distT="0" distB="0" distL="114300" distR="114300" simplePos="0" relativeHeight="251661312" behindDoc="0" locked="0" layoutInCell="1" allowOverlap="1" wp14:anchorId="0D04D67D" wp14:editId="0DA53EB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5B9BD5" w:themeColor="accent1"/>
                                    <w:sz w:val="72"/>
                                    <w:szCs w:val="72"/>
                                  </w:rPr>
                                  <w:alias w:val="Title"/>
                                  <w:id w:val="-887260678"/>
                                  <w:dataBinding w:prefixMappings="xmlns:ns0='http://schemas.openxmlformats.org/package/2006/metadata/core-properties' xmlns:ns1='http://purl.org/dc/elements/1.1/'" w:xpath="/ns0:coreProperties[1]/ns1:title[1]" w:storeItemID="{6C3C8BC8-F283-45AE-878A-BAB7291924A1}"/>
                                  <w:text/>
                                </w:sdtPr>
                                <w:sdtEndPr/>
                                <w:sdtContent>
                                  <w:p w14:paraId="2B5A8970" w14:textId="77777777" w:rsidR="00D769FA" w:rsidRDefault="00D769FA">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Software Licensing Report</w:t>
                                    </w:r>
                                  </w:p>
                                </w:sdtContent>
                              </w:sdt>
                              <w:sdt>
                                <w:sdtPr>
                                  <w:rPr>
                                    <w:rFonts w:asciiTheme="majorHAnsi" w:eastAsiaTheme="majorEastAsia" w:hAnsiTheme="majorHAnsi" w:cstheme="majorBidi"/>
                                    <w:noProof/>
                                    <w:color w:val="44546A" w:themeColor="text2"/>
                                    <w:sz w:val="32"/>
                                    <w:szCs w:val="32"/>
                                  </w:rPr>
                                  <w:alias w:val="Subtitle"/>
                                  <w:id w:val="-1090383432"/>
                                  <w:dataBinding w:prefixMappings="xmlns:ns0='http://schemas.openxmlformats.org/package/2006/metadata/core-properties' xmlns:ns1='http://purl.org/dc/elements/1.1/'" w:xpath="/ns0:coreProperties[1]/ns1:subject[1]" w:storeItemID="{6C3C8BC8-F283-45AE-878A-BAB7291924A1}"/>
                                  <w:text/>
                                </w:sdtPr>
                                <w:sdtEndPr/>
                                <w:sdtContent>
                                  <w:p w14:paraId="4B575099" w14:textId="77777777" w:rsidR="00D769FA" w:rsidRDefault="00D769F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Findings and recommendations from the CIO’s Software Licensing Task Group</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D04D67D"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5B9BD5" w:themeColor="accent1"/>
                              <w:sz w:val="72"/>
                              <w:szCs w:val="72"/>
                            </w:rPr>
                            <w:alias w:val="Title"/>
                            <w:id w:val="-887260678"/>
                            <w:dataBinding w:prefixMappings="xmlns:ns0='http://schemas.openxmlformats.org/package/2006/metadata/core-properties' xmlns:ns1='http://purl.org/dc/elements/1.1/'" w:xpath="/ns0:coreProperties[1]/ns1:title[1]" w:storeItemID="{6C3C8BC8-F283-45AE-878A-BAB7291924A1}"/>
                            <w:text/>
                          </w:sdtPr>
                          <w:sdtEndPr/>
                          <w:sdtContent>
                            <w:p w14:paraId="2B5A8970" w14:textId="77777777" w:rsidR="00D769FA" w:rsidRDefault="00D769FA">
                              <w:pPr>
                                <w:spacing w:line="240" w:lineRule="auto"/>
                                <w:rPr>
                                  <w:rFonts w:asciiTheme="majorHAnsi" w:eastAsiaTheme="majorEastAsia" w:hAnsiTheme="majorHAnsi" w:cstheme="majorBidi"/>
                                  <w:noProof/>
                                  <w:color w:val="5B9BD5" w:themeColor="accent1"/>
                                  <w:sz w:val="72"/>
                                  <w:szCs w:val="144"/>
                                </w:rPr>
                              </w:pPr>
                              <w:r>
                                <w:rPr>
                                  <w:rFonts w:asciiTheme="majorHAnsi" w:eastAsiaTheme="majorEastAsia" w:hAnsiTheme="majorHAnsi" w:cstheme="majorBidi"/>
                                  <w:noProof/>
                                  <w:color w:val="5B9BD5" w:themeColor="accent1"/>
                                  <w:sz w:val="72"/>
                                  <w:szCs w:val="72"/>
                                </w:rPr>
                                <w:t>Software Licensing Report</w:t>
                              </w:r>
                            </w:p>
                          </w:sdtContent>
                        </w:sdt>
                        <w:sdt>
                          <w:sdtPr>
                            <w:rPr>
                              <w:rFonts w:asciiTheme="majorHAnsi" w:eastAsiaTheme="majorEastAsia" w:hAnsiTheme="majorHAnsi" w:cstheme="majorBidi"/>
                              <w:noProof/>
                              <w:color w:val="44546A" w:themeColor="text2"/>
                              <w:sz w:val="32"/>
                              <w:szCs w:val="32"/>
                            </w:rPr>
                            <w:alias w:val="Subtitle"/>
                            <w:id w:val="-1090383432"/>
                            <w:dataBinding w:prefixMappings="xmlns:ns0='http://schemas.openxmlformats.org/package/2006/metadata/core-properties' xmlns:ns1='http://purl.org/dc/elements/1.1/'" w:xpath="/ns0:coreProperties[1]/ns1:subject[1]" w:storeItemID="{6C3C8BC8-F283-45AE-878A-BAB7291924A1}"/>
                            <w:text/>
                          </w:sdtPr>
                          <w:sdtEndPr/>
                          <w:sdtContent>
                            <w:p w14:paraId="4B575099" w14:textId="77777777" w:rsidR="00D769FA" w:rsidRDefault="00D769FA">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Findings and recommendations from the CIO’s Software Licensing Task Group</w:t>
                              </w:r>
                            </w:p>
                          </w:sdtContent>
                        </w:sdt>
                      </w:txbxContent>
                    </v:textbox>
                    <w10:wrap type="square" anchorx="page" anchory="page"/>
                  </v:shape>
                </w:pict>
              </mc:Fallback>
            </mc:AlternateContent>
          </w:r>
        </w:p>
        <w:p w14:paraId="6FBBDF49" w14:textId="77777777" w:rsidR="00FE1229" w:rsidRDefault="00FE1229" w:rsidP="00DE3CCD">
          <w:pPr>
            <w:spacing w:line="240" w:lineRule="auto"/>
            <w:rPr>
              <w:rFonts w:eastAsia="Times New Roman" w:cs="Arial"/>
              <w:color w:val="333333"/>
              <w:sz w:val="24"/>
              <w:szCs w:val="24"/>
            </w:rPr>
          </w:pPr>
          <w:r>
            <w:rPr>
              <w:rFonts w:eastAsia="Times New Roman" w:cs="Arial"/>
              <w:color w:val="333333"/>
              <w:sz w:val="24"/>
              <w:szCs w:val="24"/>
            </w:rPr>
            <w:br w:type="page"/>
          </w:r>
        </w:p>
      </w:sdtContent>
    </w:sdt>
    <w:p w14:paraId="1571EE54" w14:textId="77777777" w:rsidR="00035382" w:rsidRPr="00466FCD" w:rsidRDefault="00035382" w:rsidP="00466FCD">
      <w:pPr>
        <w:rPr>
          <w:b/>
          <w:sz w:val="28"/>
        </w:rPr>
      </w:pPr>
      <w:r w:rsidRPr="00466FCD">
        <w:rPr>
          <w:b/>
          <w:sz w:val="28"/>
        </w:rPr>
        <w:lastRenderedPageBreak/>
        <w:t>Executive Summary</w:t>
      </w:r>
    </w:p>
    <w:p w14:paraId="4ED0DB44" w14:textId="77777777" w:rsidR="00035382" w:rsidRPr="00345282" w:rsidRDefault="00035382" w:rsidP="00035382">
      <w:pPr>
        <w:spacing w:line="240" w:lineRule="auto"/>
        <w:rPr>
          <w:b/>
        </w:rPr>
      </w:pPr>
      <w:r>
        <w:rPr>
          <w:b/>
        </w:rPr>
        <w:t xml:space="preserve">The need for Enterprise Software License Management (SLM) at Queen’s </w:t>
      </w:r>
      <w:r w:rsidRPr="00345282">
        <w:rPr>
          <w:b/>
        </w:rPr>
        <w:t xml:space="preserve"> </w:t>
      </w:r>
    </w:p>
    <w:p w14:paraId="3D7895DF" w14:textId="0A349943" w:rsidR="00035382" w:rsidRPr="00FE1229" w:rsidRDefault="00003C56" w:rsidP="00035382">
      <w:pPr>
        <w:spacing w:line="240" w:lineRule="auto"/>
        <w:rPr>
          <w:rFonts w:asciiTheme="majorHAnsi" w:hAnsiTheme="majorHAnsi" w:cstheme="majorBidi"/>
          <w:color w:val="2E74B5" w:themeColor="accent1" w:themeShade="BF"/>
          <w:sz w:val="26"/>
          <w:szCs w:val="26"/>
        </w:rPr>
      </w:pPr>
      <w:r>
        <w:t xml:space="preserve">Enterprise software is that which is </w:t>
      </w:r>
      <w:r w:rsidR="00DE2585">
        <w:t xml:space="preserve">selected, </w:t>
      </w:r>
      <w:r>
        <w:t>pr</w:t>
      </w:r>
      <w:r w:rsidR="00DE2585">
        <w:t xml:space="preserve">ocured, managed and funded at a university-wide level </w:t>
      </w:r>
      <w:r w:rsidR="005A52FE">
        <w:t>because of</w:t>
      </w:r>
      <w:r>
        <w:t xml:space="preserve"> its overall benefit to the institution.</w:t>
      </w:r>
      <w:r w:rsidR="00DE6EEA">
        <w:t xml:space="preserve"> </w:t>
      </w:r>
      <w:r w:rsidR="00035382">
        <w:t xml:space="preserve">Strategic SLM for enterprise software has never been formally addressed at Queen’s University. In the absence of a software licensing office, the Campus Computer Store (CCS) was the unit most heavily involved in the negotiation, procurement, billing, distribution and maintenance of several software titles used by the institution. While the store did provide support for a select number of titles, SLM was never fully established and many gaps existed between the services offered and the institutional need. With the </w:t>
      </w:r>
      <w:r w:rsidR="00035382" w:rsidRPr="003D1C51">
        <w:t>closure</w:t>
      </w:r>
      <w:r w:rsidR="00035382">
        <w:t xml:space="preserve"> of the CCS unit in April 2016, the resources and funding model that made some of the management of software licensing possible were now no longer available, and made the gap even wider. A</w:t>
      </w:r>
      <w:r w:rsidR="00035382" w:rsidRPr="003D1C51">
        <w:t xml:space="preserve"> new model </w:t>
      </w:r>
      <w:r w:rsidR="00035382">
        <w:t xml:space="preserve">is </w:t>
      </w:r>
      <w:r w:rsidR="00BB0543">
        <w:t>necessary to facilitate</w:t>
      </w:r>
      <w:r w:rsidR="00035382">
        <w:t xml:space="preserve"> the procurement of, and </w:t>
      </w:r>
      <w:r w:rsidR="00035382" w:rsidRPr="003D1C51">
        <w:t>access to software requ</w:t>
      </w:r>
      <w:r w:rsidR="00035382">
        <w:t xml:space="preserve">ired for teaching, learning, </w:t>
      </w:r>
      <w:r w:rsidR="00035382" w:rsidRPr="003D1C51">
        <w:t>research</w:t>
      </w:r>
      <w:r>
        <w:t xml:space="preserve"> and administration.  In addition</w:t>
      </w:r>
      <w:r w:rsidR="00035382">
        <w:t>, a governance model should be put in place to address the life cycles</w:t>
      </w:r>
      <w:r w:rsidR="00035382" w:rsidRPr="003D1C51">
        <w:t xml:space="preserve"> of </w:t>
      </w:r>
      <w:r w:rsidR="00035382">
        <w:t xml:space="preserve">software </w:t>
      </w:r>
      <w:r w:rsidR="00035382" w:rsidRPr="003D1C51">
        <w:t>license agree</w:t>
      </w:r>
      <w:r w:rsidR="00035382">
        <w:t xml:space="preserve">ments necessary to achieve </w:t>
      </w:r>
      <w:r w:rsidR="00035382" w:rsidRPr="003D1C51">
        <w:t>continuity</w:t>
      </w:r>
      <w:r w:rsidR="00035382">
        <w:t xml:space="preserve"> in these areas</w:t>
      </w:r>
      <w:r w:rsidR="00035382" w:rsidRPr="003D1C51">
        <w:t>.</w:t>
      </w:r>
    </w:p>
    <w:p w14:paraId="561A6181" w14:textId="77777777" w:rsidR="00035382" w:rsidRPr="00345282" w:rsidRDefault="00035382" w:rsidP="00035382">
      <w:pPr>
        <w:spacing w:line="240" w:lineRule="auto"/>
        <w:rPr>
          <w:b/>
        </w:rPr>
      </w:pPr>
      <w:r w:rsidRPr="00345282">
        <w:rPr>
          <w:b/>
        </w:rPr>
        <w:t xml:space="preserve">Objectives </w:t>
      </w:r>
    </w:p>
    <w:p w14:paraId="4D1B755E" w14:textId="11213CD3" w:rsidR="00E009DF" w:rsidRDefault="00035382" w:rsidP="00E009DF">
      <w:pPr>
        <w:spacing w:line="240" w:lineRule="auto"/>
      </w:pPr>
      <w:r w:rsidRPr="003D1C51">
        <w:t>The Softwar</w:t>
      </w:r>
      <w:r>
        <w:t xml:space="preserve">e Licensing Task Group’s </w:t>
      </w:r>
      <w:r w:rsidR="008B7595">
        <w:t xml:space="preserve">(SLTG) </w:t>
      </w:r>
      <w:r>
        <w:t>objective</w:t>
      </w:r>
      <w:r w:rsidR="00036AE3">
        <w:t>s are</w:t>
      </w:r>
      <w:r w:rsidR="00E009DF">
        <w:t>:</w:t>
      </w:r>
    </w:p>
    <w:p w14:paraId="31727961" w14:textId="432731FC" w:rsidR="00035382" w:rsidRDefault="00E009DF" w:rsidP="00E009DF">
      <w:pPr>
        <w:spacing w:line="240" w:lineRule="auto"/>
      </w:pPr>
      <w:r w:rsidRPr="00E009DF">
        <w:t>T</w:t>
      </w:r>
      <w:r w:rsidR="00035382" w:rsidRPr="00E009DF">
        <w:t>o</w:t>
      </w:r>
      <w:r w:rsidR="00035382" w:rsidRPr="00E009DF">
        <w:rPr>
          <w:b/>
        </w:rPr>
        <w:t xml:space="preserve"> identify and recommend a strategic direction or model for the</w:t>
      </w:r>
      <w:r w:rsidR="00771567">
        <w:rPr>
          <w:b/>
        </w:rPr>
        <w:t xml:space="preserve"> identification,</w:t>
      </w:r>
      <w:r w:rsidR="00035382" w:rsidRPr="00E009DF">
        <w:rPr>
          <w:b/>
        </w:rPr>
        <w:t xml:space="preserve"> funding, licensing, and distribution of enterprise software</w:t>
      </w:r>
      <w:r w:rsidR="00035382">
        <w:t xml:space="preserve"> where there exi</w:t>
      </w:r>
      <w:r w:rsidR="00036AE3">
        <w:t>s</w:t>
      </w:r>
      <w:r w:rsidR="00035382">
        <w:t>ts the ability to realize cost savings, and to provide the essential tools needed for</w:t>
      </w:r>
      <w:r w:rsidR="00035382" w:rsidRPr="003D1C51">
        <w:t xml:space="preserve"> </w:t>
      </w:r>
      <w:r w:rsidR="00035382">
        <w:t>teaching, research or administration at Queen’s University.</w:t>
      </w:r>
    </w:p>
    <w:p w14:paraId="46B69193" w14:textId="77777777" w:rsidR="00035382" w:rsidRDefault="00035382" w:rsidP="00E009DF">
      <w:pPr>
        <w:spacing w:line="240" w:lineRule="auto"/>
      </w:pPr>
      <w:r>
        <w:t xml:space="preserve">To </w:t>
      </w:r>
      <w:r w:rsidRPr="00E009DF">
        <w:rPr>
          <w:b/>
        </w:rPr>
        <w:t>recommend policies, procedures and funding approaches</w:t>
      </w:r>
      <w:r w:rsidRPr="003D1C51">
        <w:t xml:space="preserve"> which will achieve greater consistency, </w:t>
      </w:r>
      <w:r>
        <w:t>lower costs and improve the current s</w:t>
      </w:r>
      <w:r w:rsidRPr="003D1C51">
        <w:t>oftware</w:t>
      </w:r>
      <w:r>
        <w:t xml:space="preserve"> licensing practices at Queen’s University.</w:t>
      </w:r>
    </w:p>
    <w:p w14:paraId="64FBA0BF" w14:textId="77777777" w:rsidR="00035382" w:rsidRPr="00345282" w:rsidRDefault="00035382" w:rsidP="00035382">
      <w:pPr>
        <w:spacing w:line="240" w:lineRule="auto"/>
        <w:rPr>
          <w:b/>
        </w:rPr>
      </w:pPr>
      <w:r w:rsidRPr="00345282">
        <w:rPr>
          <w:b/>
        </w:rPr>
        <w:t>Scope</w:t>
      </w:r>
    </w:p>
    <w:p w14:paraId="2452B241" w14:textId="6BB5280A" w:rsidR="00035382" w:rsidRDefault="00035382" w:rsidP="00035382">
      <w:pPr>
        <w:spacing w:line="240" w:lineRule="auto"/>
      </w:pPr>
      <w:r>
        <w:t xml:space="preserve">A cross section of the university was involved in the development of this report </w:t>
      </w:r>
      <w:r w:rsidR="005A52FE">
        <w:t>to</w:t>
      </w:r>
      <w:r>
        <w:t xml:space="preserve"> ensure that the recommendation addresses the following challenges:</w:t>
      </w:r>
    </w:p>
    <w:p w14:paraId="138D2C8D" w14:textId="77777777" w:rsidR="00035382" w:rsidRDefault="00035382" w:rsidP="00035382">
      <w:pPr>
        <w:pStyle w:val="ListParagraph"/>
        <w:numPr>
          <w:ilvl w:val="0"/>
          <w:numId w:val="16"/>
        </w:numPr>
        <w:spacing w:line="240" w:lineRule="auto"/>
      </w:pPr>
      <w:r>
        <w:t>Categorization &amp; Prioritization</w:t>
      </w:r>
    </w:p>
    <w:p w14:paraId="29F2D4E5" w14:textId="77777777" w:rsidR="00035382" w:rsidRDefault="00035382" w:rsidP="00035382">
      <w:pPr>
        <w:pStyle w:val="ListParagraph"/>
        <w:numPr>
          <w:ilvl w:val="0"/>
          <w:numId w:val="16"/>
        </w:numPr>
        <w:spacing w:line="240" w:lineRule="auto"/>
      </w:pPr>
      <w:r>
        <w:t>Funding Strategies</w:t>
      </w:r>
    </w:p>
    <w:p w14:paraId="63DE2D74" w14:textId="77777777" w:rsidR="00035382" w:rsidRDefault="00035382" w:rsidP="00035382">
      <w:pPr>
        <w:pStyle w:val="ListParagraph"/>
        <w:numPr>
          <w:ilvl w:val="0"/>
          <w:numId w:val="16"/>
        </w:numPr>
        <w:spacing w:line="240" w:lineRule="auto"/>
      </w:pPr>
      <w:r>
        <w:t>Distribution or Provisioning of Access</w:t>
      </w:r>
    </w:p>
    <w:p w14:paraId="5D82BA4B" w14:textId="77777777" w:rsidR="00035382" w:rsidRDefault="00035382" w:rsidP="00035382">
      <w:pPr>
        <w:pStyle w:val="ListParagraph"/>
        <w:numPr>
          <w:ilvl w:val="0"/>
          <w:numId w:val="16"/>
        </w:numPr>
        <w:spacing w:line="240" w:lineRule="auto"/>
      </w:pPr>
      <w:r>
        <w:t>Relevance and Alignment with Software Needs</w:t>
      </w:r>
    </w:p>
    <w:p w14:paraId="7B31B273" w14:textId="77777777" w:rsidR="00035382" w:rsidRDefault="00035382" w:rsidP="00035382">
      <w:pPr>
        <w:pStyle w:val="ListParagraph"/>
        <w:numPr>
          <w:ilvl w:val="0"/>
          <w:numId w:val="16"/>
        </w:numPr>
        <w:spacing w:line="240" w:lineRule="auto"/>
      </w:pPr>
      <w:r>
        <w:t>Compliance with and Preservation of License Agreements</w:t>
      </w:r>
    </w:p>
    <w:p w14:paraId="3C97D280" w14:textId="77777777" w:rsidR="00035382" w:rsidRPr="00345282" w:rsidRDefault="00035382" w:rsidP="00035382">
      <w:pPr>
        <w:spacing w:line="240" w:lineRule="auto"/>
        <w:rPr>
          <w:b/>
        </w:rPr>
      </w:pPr>
      <w:r>
        <w:rPr>
          <w:b/>
        </w:rPr>
        <w:t>Recommendation</w:t>
      </w:r>
    </w:p>
    <w:p w14:paraId="2773418F" w14:textId="374C2ED0" w:rsidR="00035382" w:rsidRDefault="00C929F9" w:rsidP="00035382">
      <w:pPr>
        <w:spacing w:line="240" w:lineRule="auto"/>
      </w:pPr>
      <w:r>
        <w:t xml:space="preserve">It is the recommendation of the SLTG that </w:t>
      </w:r>
      <w:r w:rsidR="00035382">
        <w:t>ITS</w:t>
      </w:r>
      <w:r w:rsidR="00035382" w:rsidRPr="00D953DC">
        <w:t xml:space="preserve"> </w:t>
      </w:r>
      <w:r w:rsidR="00035382">
        <w:t xml:space="preserve">procure and </w:t>
      </w:r>
      <w:r w:rsidR="00035382" w:rsidRPr="00D953DC">
        <w:t xml:space="preserve">manage enterprise wide </w:t>
      </w:r>
      <w:r w:rsidR="00035382">
        <w:t xml:space="preserve">software </w:t>
      </w:r>
      <w:r w:rsidR="00035382" w:rsidRPr="00D953DC">
        <w:t>agreements</w:t>
      </w:r>
      <w:r w:rsidR="00035382">
        <w:t xml:space="preserve"> and distribute via electronic download. F</w:t>
      </w:r>
      <w:r w:rsidR="00035382" w:rsidRPr="00D953DC">
        <w:t xml:space="preserve">unding for enterprise software </w:t>
      </w:r>
      <w:r w:rsidR="00035382">
        <w:t xml:space="preserve">needs to be </w:t>
      </w:r>
      <w:r>
        <w:t xml:space="preserve">made available from the University Fund and </w:t>
      </w:r>
      <w:r w:rsidR="00035382">
        <w:t xml:space="preserve">added to an </w:t>
      </w:r>
      <w:r w:rsidR="00035382" w:rsidRPr="00D953DC">
        <w:t>earmarked software account</w:t>
      </w:r>
      <w:r w:rsidR="00035382">
        <w:t xml:space="preserve"> within </w:t>
      </w:r>
      <w:r w:rsidR="00BB0543">
        <w:t>the</w:t>
      </w:r>
      <w:r w:rsidR="00035382">
        <w:t xml:space="preserve"> ITS budget</w:t>
      </w:r>
      <w:r w:rsidR="00035382" w:rsidRPr="00D953DC">
        <w:t>.</w:t>
      </w:r>
      <w:r w:rsidR="0096668D">
        <w:t xml:space="preserve"> </w:t>
      </w:r>
      <w:r w:rsidR="00454F63">
        <w:t>Software titles not deemed to meet the required criteria would be funded and</w:t>
      </w:r>
      <w:r w:rsidR="00B65970">
        <w:t xml:space="preserve"> managed by the faculty, school or d</w:t>
      </w:r>
      <w:r w:rsidR="00454F63">
        <w:t>epartment requiring its use.</w:t>
      </w:r>
      <w:r w:rsidR="00B61CDC">
        <w:t xml:space="preserve"> This process will need a governance structure to oversee the review and selection of software titles, and the business cases for their funding. A Software Licensing Review Committee (SLRC) will need to be established, and </w:t>
      </w:r>
      <w:r w:rsidR="008B7595">
        <w:t>have representation from faculties, schools, departments, and student groups. This oversight body, like the SLTG, will need to possess both the insight into the needs of their respective areas, and the ability to look at SLM from the enterprise perspective to ensure the offerings are well suited to the needs of the entire university.</w:t>
      </w:r>
    </w:p>
    <w:sdt>
      <w:sdtPr>
        <w:rPr>
          <w:rFonts w:asciiTheme="minorHAnsi" w:eastAsiaTheme="minorHAnsi" w:hAnsiTheme="minorHAnsi" w:cstheme="minorBidi"/>
          <w:color w:val="auto"/>
          <w:sz w:val="22"/>
          <w:szCs w:val="22"/>
        </w:rPr>
        <w:id w:val="1100447988"/>
        <w:docPartObj>
          <w:docPartGallery w:val="Table of Contents"/>
          <w:docPartUnique/>
        </w:docPartObj>
      </w:sdtPr>
      <w:sdtEndPr>
        <w:rPr>
          <w:b/>
          <w:bCs/>
          <w:noProof/>
        </w:rPr>
      </w:sdtEndPr>
      <w:sdtContent>
        <w:p w14:paraId="0D3F1613" w14:textId="77777777" w:rsidR="00D81569" w:rsidRDefault="00D81569" w:rsidP="00DE3CCD">
          <w:pPr>
            <w:pStyle w:val="TOCHeading"/>
            <w:spacing w:line="240" w:lineRule="auto"/>
          </w:pPr>
          <w:r>
            <w:t>Contents</w:t>
          </w:r>
        </w:p>
        <w:p w14:paraId="483E8881" w14:textId="77777777" w:rsidR="00E009DF" w:rsidRPr="00E009DF" w:rsidRDefault="00E009DF" w:rsidP="00E009DF"/>
        <w:p w14:paraId="5B3401B8" w14:textId="1CE34CF1" w:rsidR="00192695" w:rsidRDefault="00D81569">
          <w:pPr>
            <w:pStyle w:val="TOC1"/>
            <w:tabs>
              <w:tab w:val="right" w:leader="dot" w:pos="9350"/>
            </w:tabs>
            <w:rPr>
              <w:rFonts w:eastAsiaTheme="minorEastAsia"/>
              <w:noProof/>
              <w:lang w:val="en-CA" w:eastAsia="en-CA"/>
            </w:rPr>
          </w:pPr>
          <w:r>
            <w:fldChar w:fldCharType="begin"/>
          </w:r>
          <w:r>
            <w:instrText xml:space="preserve"> TOC \o "1-3" \h \z \u </w:instrText>
          </w:r>
          <w:r>
            <w:fldChar w:fldCharType="separate"/>
          </w:r>
          <w:bookmarkStart w:id="0" w:name="_GoBack"/>
          <w:bookmarkEnd w:id="0"/>
          <w:r w:rsidR="00192695" w:rsidRPr="008A53DB">
            <w:rPr>
              <w:rStyle w:val="Hyperlink"/>
              <w:noProof/>
            </w:rPr>
            <w:fldChar w:fldCharType="begin"/>
          </w:r>
          <w:r w:rsidR="00192695" w:rsidRPr="008A53DB">
            <w:rPr>
              <w:rStyle w:val="Hyperlink"/>
              <w:noProof/>
            </w:rPr>
            <w:instrText xml:space="preserve"> </w:instrText>
          </w:r>
          <w:r w:rsidR="00192695">
            <w:rPr>
              <w:noProof/>
            </w:rPr>
            <w:instrText>HYPERLINK \l "_Toc469383384"</w:instrText>
          </w:r>
          <w:r w:rsidR="00192695" w:rsidRPr="008A53DB">
            <w:rPr>
              <w:rStyle w:val="Hyperlink"/>
              <w:noProof/>
            </w:rPr>
            <w:instrText xml:space="preserve"> </w:instrText>
          </w:r>
          <w:r w:rsidR="00192695" w:rsidRPr="008A53DB">
            <w:rPr>
              <w:rStyle w:val="Hyperlink"/>
              <w:noProof/>
            </w:rPr>
          </w:r>
          <w:r w:rsidR="00192695" w:rsidRPr="008A53DB">
            <w:rPr>
              <w:rStyle w:val="Hyperlink"/>
              <w:noProof/>
            </w:rPr>
            <w:fldChar w:fldCharType="separate"/>
          </w:r>
          <w:r w:rsidR="00192695" w:rsidRPr="008A53DB">
            <w:rPr>
              <w:rStyle w:val="Hyperlink"/>
              <w:noProof/>
            </w:rPr>
            <w:t>1 – Introduction</w:t>
          </w:r>
          <w:r w:rsidR="00192695">
            <w:rPr>
              <w:noProof/>
              <w:webHidden/>
            </w:rPr>
            <w:tab/>
          </w:r>
          <w:r w:rsidR="00192695">
            <w:rPr>
              <w:noProof/>
              <w:webHidden/>
            </w:rPr>
            <w:fldChar w:fldCharType="begin"/>
          </w:r>
          <w:r w:rsidR="00192695">
            <w:rPr>
              <w:noProof/>
              <w:webHidden/>
            </w:rPr>
            <w:instrText xml:space="preserve"> PAGEREF _Toc469383384 \h </w:instrText>
          </w:r>
          <w:r w:rsidR="00192695">
            <w:rPr>
              <w:noProof/>
              <w:webHidden/>
            </w:rPr>
          </w:r>
          <w:r w:rsidR="00192695">
            <w:rPr>
              <w:noProof/>
              <w:webHidden/>
            </w:rPr>
            <w:fldChar w:fldCharType="separate"/>
          </w:r>
          <w:r w:rsidR="00192695">
            <w:rPr>
              <w:noProof/>
              <w:webHidden/>
            </w:rPr>
            <w:t>3</w:t>
          </w:r>
          <w:r w:rsidR="00192695">
            <w:rPr>
              <w:noProof/>
              <w:webHidden/>
            </w:rPr>
            <w:fldChar w:fldCharType="end"/>
          </w:r>
          <w:r w:rsidR="00192695" w:rsidRPr="008A53DB">
            <w:rPr>
              <w:rStyle w:val="Hyperlink"/>
              <w:noProof/>
            </w:rPr>
            <w:fldChar w:fldCharType="end"/>
          </w:r>
        </w:p>
        <w:p w14:paraId="7532D718" w14:textId="60717BEE" w:rsidR="00192695" w:rsidRDefault="00192695">
          <w:pPr>
            <w:pStyle w:val="TOC2"/>
            <w:tabs>
              <w:tab w:val="right" w:leader="dot" w:pos="9350"/>
            </w:tabs>
            <w:rPr>
              <w:rFonts w:eastAsiaTheme="minorEastAsia"/>
              <w:noProof/>
              <w:lang w:val="en-CA" w:eastAsia="en-CA"/>
            </w:rPr>
          </w:pPr>
          <w:hyperlink w:anchor="_Toc469383385" w:history="1">
            <w:r w:rsidRPr="008A53DB">
              <w:rPr>
                <w:rStyle w:val="Hyperlink"/>
                <w:noProof/>
              </w:rPr>
              <w:t>1.1 - Business Need</w:t>
            </w:r>
            <w:r>
              <w:rPr>
                <w:noProof/>
                <w:webHidden/>
              </w:rPr>
              <w:tab/>
            </w:r>
            <w:r>
              <w:rPr>
                <w:noProof/>
                <w:webHidden/>
              </w:rPr>
              <w:fldChar w:fldCharType="begin"/>
            </w:r>
            <w:r>
              <w:rPr>
                <w:noProof/>
                <w:webHidden/>
              </w:rPr>
              <w:instrText xml:space="preserve"> PAGEREF _Toc469383385 \h </w:instrText>
            </w:r>
            <w:r>
              <w:rPr>
                <w:noProof/>
                <w:webHidden/>
              </w:rPr>
            </w:r>
            <w:r>
              <w:rPr>
                <w:noProof/>
                <w:webHidden/>
              </w:rPr>
              <w:fldChar w:fldCharType="separate"/>
            </w:r>
            <w:r>
              <w:rPr>
                <w:noProof/>
                <w:webHidden/>
              </w:rPr>
              <w:t>3</w:t>
            </w:r>
            <w:r>
              <w:rPr>
                <w:noProof/>
                <w:webHidden/>
              </w:rPr>
              <w:fldChar w:fldCharType="end"/>
            </w:r>
          </w:hyperlink>
        </w:p>
        <w:p w14:paraId="3A729919" w14:textId="3768A1BE" w:rsidR="00192695" w:rsidRDefault="00192695">
          <w:pPr>
            <w:pStyle w:val="TOC2"/>
            <w:tabs>
              <w:tab w:val="right" w:leader="dot" w:pos="9350"/>
            </w:tabs>
            <w:rPr>
              <w:rFonts w:eastAsiaTheme="minorEastAsia"/>
              <w:noProof/>
              <w:lang w:val="en-CA" w:eastAsia="en-CA"/>
            </w:rPr>
          </w:pPr>
          <w:hyperlink w:anchor="_Toc469383386" w:history="1">
            <w:r w:rsidRPr="008A53DB">
              <w:rPr>
                <w:rStyle w:val="Hyperlink"/>
                <w:noProof/>
              </w:rPr>
              <w:t>1.2 – Strategic Alignment</w:t>
            </w:r>
            <w:r>
              <w:rPr>
                <w:noProof/>
                <w:webHidden/>
              </w:rPr>
              <w:tab/>
            </w:r>
            <w:r>
              <w:rPr>
                <w:noProof/>
                <w:webHidden/>
              </w:rPr>
              <w:fldChar w:fldCharType="begin"/>
            </w:r>
            <w:r>
              <w:rPr>
                <w:noProof/>
                <w:webHidden/>
              </w:rPr>
              <w:instrText xml:space="preserve"> PAGEREF _Toc469383386 \h </w:instrText>
            </w:r>
            <w:r>
              <w:rPr>
                <w:noProof/>
                <w:webHidden/>
              </w:rPr>
            </w:r>
            <w:r>
              <w:rPr>
                <w:noProof/>
                <w:webHidden/>
              </w:rPr>
              <w:fldChar w:fldCharType="separate"/>
            </w:r>
            <w:r>
              <w:rPr>
                <w:noProof/>
                <w:webHidden/>
              </w:rPr>
              <w:t>3</w:t>
            </w:r>
            <w:r>
              <w:rPr>
                <w:noProof/>
                <w:webHidden/>
              </w:rPr>
              <w:fldChar w:fldCharType="end"/>
            </w:r>
          </w:hyperlink>
        </w:p>
        <w:p w14:paraId="596824C7" w14:textId="3439BC8C" w:rsidR="00192695" w:rsidRDefault="00192695">
          <w:pPr>
            <w:pStyle w:val="TOC1"/>
            <w:tabs>
              <w:tab w:val="right" w:leader="dot" w:pos="9350"/>
            </w:tabs>
            <w:rPr>
              <w:rFonts w:eastAsiaTheme="minorEastAsia"/>
              <w:noProof/>
              <w:lang w:val="en-CA" w:eastAsia="en-CA"/>
            </w:rPr>
          </w:pPr>
          <w:hyperlink w:anchor="_Toc469383387" w:history="1">
            <w:r w:rsidRPr="008A53DB">
              <w:rPr>
                <w:rStyle w:val="Hyperlink"/>
                <w:noProof/>
              </w:rPr>
              <w:t>2 - Purpose of Review</w:t>
            </w:r>
            <w:r>
              <w:rPr>
                <w:noProof/>
                <w:webHidden/>
              </w:rPr>
              <w:tab/>
            </w:r>
            <w:r>
              <w:rPr>
                <w:noProof/>
                <w:webHidden/>
              </w:rPr>
              <w:fldChar w:fldCharType="begin"/>
            </w:r>
            <w:r>
              <w:rPr>
                <w:noProof/>
                <w:webHidden/>
              </w:rPr>
              <w:instrText xml:space="preserve"> PAGEREF _Toc469383387 \h </w:instrText>
            </w:r>
            <w:r>
              <w:rPr>
                <w:noProof/>
                <w:webHidden/>
              </w:rPr>
            </w:r>
            <w:r>
              <w:rPr>
                <w:noProof/>
                <w:webHidden/>
              </w:rPr>
              <w:fldChar w:fldCharType="separate"/>
            </w:r>
            <w:r>
              <w:rPr>
                <w:noProof/>
                <w:webHidden/>
              </w:rPr>
              <w:t>3</w:t>
            </w:r>
            <w:r>
              <w:rPr>
                <w:noProof/>
                <w:webHidden/>
              </w:rPr>
              <w:fldChar w:fldCharType="end"/>
            </w:r>
          </w:hyperlink>
        </w:p>
        <w:p w14:paraId="0B57D830" w14:textId="01A1DBF9" w:rsidR="00192695" w:rsidRDefault="00192695">
          <w:pPr>
            <w:pStyle w:val="TOC2"/>
            <w:tabs>
              <w:tab w:val="right" w:leader="dot" w:pos="9350"/>
            </w:tabs>
            <w:rPr>
              <w:rFonts w:eastAsiaTheme="minorEastAsia"/>
              <w:noProof/>
              <w:lang w:val="en-CA" w:eastAsia="en-CA"/>
            </w:rPr>
          </w:pPr>
          <w:hyperlink w:anchor="_Toc469383388" w:history="1">
            <w:r w:rsidRPr="008A53DB">
              <w:rPr>
                <w:rStyle w:val="Hyperlink"/>
                <w:noProof/>
              </w:rPr>
              <w:t>2.1 - Categorization / Prioritization</w:t>
            </w:r>
            <w:r>
              <w:rPr>
                <w:noProof/>
                <w:webHidden/>
              </w:rPr>
              <w:tab/>
            </w:r>
            <w:r>
              <w:rPr>
                <w:noProof/>
                <w:webHidden/>
              </w:rPr>
              <w:fldChar w:fldCharType="begin"/>
            </w:r>
            <w:r>
              <w:rPr>
                <w:noProof/>
                <w:webHidden/>
              </w:rPr>
              <w:instrText xml:space="preserve"> PAGEREF _Toc469383388 \h </w:instrText>
            </w:r>
            <w:r>
              <w:rPr>
                <w:noProof/>
                <w:webHidden/>
              </w:rPr>
            </w:r>
            <w:r>
              <w:rPr>
                <w:noProof/>
                <w:webHidden/>
              </w:rPr>
              <w:fldChar w:fldCharType="separate"/>
            </w:r>
            <w:r>
              <w:rPr>
                <w:noProof/>
                <w:webHidden/>
              </w:rPr>
              <w:t>4</w:t>
            </w:r>
            <w:r>
              <w:rPr>
                <w:noProof/>
                <w:webHidden/>
              </w:rPr>
              <w:fldChar w:fldCharType="end"/>
            </w:r>
          </w:hyperlink>
        </w:p>
        <w:p w14:paraId="440D6083" w14:textId="4E7D1012" w:rsidR="00192695" w:rsidRDefault="00192695">
          <w:pPr>
            <w:pStyle w:val="TOC2"/>
            <w:tabs>
              <w:tab w:val="right" w:leader="dot" w:pos="9350"/>
            </w:tabs>
            <w:rPr>
              <w:rFonts w:eastAsiaTheme="minorEastAsia"/>
              <w:noProof/>
              <w:lang w:val="en-CA" w:eastAsia="en-CA"/>
            </w:rPr>
          </w:pPr>
          <w:hyperlink w:anchor="_Toc469383389" w:history="1">
            <w:r w:rsidRPr="008A53DB">
              <w:rPr>
                <w:rStyle w:val="Hyperlink"/>
                <w:noProof/>
              </w:rPr>
              <w:t>2.2 - Funding Strategies</w:t>
            </w:r>
            <w:r>
              <w:rPr>
                <w:noProof/>
                <w:webHidden/>
              </w:rPr>
              <w:tab/>
            </w:r>
            <w:r>
              <w:rPr>
                <w:noProof/>
                <w:webHidden/>
              </w:rPr>
              <w:fldChar w:fldCharType="begin"/>
            </w:r>
            <w:r>
              <w:rPr>
                <w:noProof/>
                <w:webHidden/>
              </w:rPr>
              <w:instrText xml:space="preserve"> PAGEREF _Toc469383389 \h </w:instrText>
            </w:r>
            <w:r>
              <w:rPr>
                <w:noProof/>
                <w:webHidden/>
              </w:rPr>
            </w:r>
            <w:r>
              <w:rPr>
                <w:noProof/>
                <w:webHidden/>
              </w:rPr>
              <w:fldChar w:fldCharType="separate"/>
            </w:r>
            <w:r>
              <w:rPr>
                <w:noProof/>
                <w:webHidden/>
              </w:rPr>
              <w:t>4</w:t>
            </w:r>
            <w:r>
              <w:rPr>
                <w:noProof/>
                <w:webHidden/>
              </w:rPr>
              <w:fldChar w:fldCharType="end"/>
            </w:r>
          </w:hyperlink>
        </w:p>
        <w:p w14:paraId="503C4879" w14:textId="0EF55786" w:rsidR="00192695" w:rsidRDefault="00192695">
          <w:pPr>
            <w:pStyle w:val="TOC2"/>
            <w:tabs>
              <w:tab w:val="right" w:leader="dot" w:pos="9350"/>
            </w:tabs>
            <w:rPr>
              <w:rFonts w:eastAsiaTheme="minorEastAsia"/>
              <w:noProof/>
              <w:lang w:val="en-CA" w:eastAsia="en-CA"/>
            </w:rPr>
          </w:pPr>
          <w:hyperlink w:anchor="_Toc469383390" w:history="1">
            <w:r w:rsidRPr="008A53DB">
              <w:rPr>
                <w:rStyle w:val="Hyperlink"/>
                <w:noProof/>
              </w:rPr>
              <w:t>2.3 - Distribution or Provisioning of Access</w:t>
            </w:r>
            <w:r>
              <w:rPr>
                <w:noProof/>
                <w:webHidden/>
              </w:rPr>
              <w:tab/>
            </w:r>
            <w:r>
              <w:rPr>
                <w:noProof/>
                <w:webHidden/>
              </w:rPr>
              <w:fldChar w:fldCharType="begin"/>
            </w:r>
            <w:r>
              <w:rPr>
                <w:noProof/>
                <w:webHidden/>
              </w:rPr>
              <w:instrText xml:space="preserve"> PAGEREF _Toc469383390 \h </w:instrText>
            </w:r>
            <w:r>
              <w:rPr>
                <w:noProof/>
                <w:webHidden/>
              </w:rPr>
            </w:r>
            <w:r>
              <w:rPr>
                <w:noProof/>
                <w:webHidden/>
              </w:rPr>
              <w:fldChar w:fldCharType="separate"/>
            </w:r>
            <w:r>
              <w:rPr>
                <w:noProof/>
                <w:webHidden/>
              </w:rPr>
              <w:t>4</w:t>
            </w:r>
            <w:r>
              <w:rPr>
                <w:noProof/>
                <w:webHidden/>
              </w:rPr>
              <w:fldChar w:fldCharType="end"/>
            </w:r>
          </w:hyperlink>
        </w:p>
        <w:p w14:paraId="33B51D5A" w14:textId="14A40A09" w:rsidR="00192695" w:rsidRDefault="00192695">
          <w:pPr>
            <w:pStyle w:val="TOC2"/>
            <w:tabs>
              <w:tab w:val="right" w:leader="dot" w:pos="9350"/>
            </w:tabs>
            <w:rPr>
              <w:rFonts w:eastAsiaTheme="minorEastAsia"/>
              <w:noProof/>
              <w:lang w:val="en-CA" w:eastAsia="en-CA"/>
            </w:rPr>
          </w:pPr>
          <w:hyperlink w:anchor="_Toc469383391" w:history="1">
            <w:r w:rsidRPr="008A53DB">
              <w:rPr>
                <w:rStyle w:val="Hyperlink"/>
                <w:rFonts w:eastAsia="Times New Roman"/>
                <w:noProof/>
              </w:rPr>
              <w:t>2.4 - Relevance and Alignment with University Needs</w:t>
            </w:r>
            <w:r>
              <w:rPr>
                <w:noProof/>
                <w:webHidden/>
              </w:rPr>
              <w:tab/>
            </w:r>
            <w:r>
              <w:rPr>
                <w:noProof/>
                <w:webHidden/>
              </w:rPr>
              <w:fldChar w:fldCharType="begin"/>
            </w:r>
            <w:r>
              <w:rPr>
                <w:noProof/>
                <w:webHidden/>
              </w:rPr>
              <w:instrText xml:space="preserve"> PAGEREF _Toc469383391 \h </w:instrText>
            </w:r>
            <w:r>
              <w:rPr>
                <w:noProof/>
                <w:webHidden/>
              </w:rPr>
            </w:r>
            <w:r>
              <w:rPr>
                <w:noProof/>
                <w:webHidden/>
              </w:rPr>
              <w:fldChar w:fldCharType="separate"/>
            </w:r>
            <w:r>
              <w:rPr>
                <w:noProof/>
                <w:webHidden/>
              </w:rPr>
              <w:t>4</w:t>
            </w:r>
            <w:r>
              <w:rPr>
                <w:noProof/>
                <w:webHidden/>
              </w:rPr>
              <w:fldChar w:fldCharType="end"/>
            </w:r>
          </w:hyperlink>
        </w:p>
        <w:p w14:paraId="4633E5E7" w14:textId="5BFD958C" w:rsidR="00192695" w:rsidRDefault="00192695">
          <w:pPr>
            <w:pStyle w:val="TOC2"/>
            <w:tabs>
              <w:tab w:val="right" w:leader="dot" w:pos="9350"/>
            </w:tabs>
            <w:rPr>
              <w:rFonts w:eastAsiaTheme="minorEastAsia"/>
              <w:noProof/>
              <w:lang w:val="en-CA" w:eastAsia="en-CA"/>
            </w:rPr>
          </w:pPr>
          <w:hyperlink w:anchor="_Toc469383392" w:history="1">
            <w:r w:rsidRPr="008A53DB">
              <w:rPr>
                <w:rStyle w:val="Hyperlink"/>
                <w:noProof/>
              </w:rPr>
              <w:t>2.5 - Compliance with and Preservation of License Agreements</w:t>
            </w:r>
            <w:r>
              <w:rPr>
                <w:noProof/>
                <w:webHidden/>
              </w:rPr>
              <w:tab/>
            </w:r>
            <w:r>
              <w:rPr>
                <w:noProof/>
                <w:webHidden/>
              </w:rPr>
              <w:fldChar w:fldCharType="begin"/>
            </w:r>
            <w:r>
              <w:rPr>
                <w:noProof/>
                <w:webHidden/>
              </w:rPr>
              <w:instrText xml:space="preserve"> PAGEREF _Toc469383392 \h </w:instrText>
            </w:r>
            <w:r>
              <w:rPr>
                <w:noProof/>
                <w:webHidden/>
              </w:rPr>
            </w:r>
            <w:r>
              <w:rPr>
                <w:noProof/>
                <w:webHidden/>
              </w:rPr>
              <w:fldChar w:fldCharType="separate"/>
            </w:r>
            <w:r>
              <w:rPr>
                <w:noProof/>
                <w:webHidden/>
              </w:rPr>
              <w:t>4</w:t>
            </w:r>
            <w:r>
              <w:rPr>
                <w:noProof/>
                <w:webHidden/>
              </w:rPr>
              <w:fldChar w:fldCharType="end"/>
            </w:r>
          </w:hyperlink>
        </w:p>
        <w:p w14:paraId="5007B173" w14:textId="1362617B" w:rsidR="00192695" w:rsidRDefault="00192695">
          <w:pPr>
            <w:pStyle w:val="TOC1"/>
            <w:tabs>
              <w:tab w:val="right" w:leader="dot" w:pos="9350"/>
            </w:tabs>
            <w:rPr>
              <w:rFonts w:eastAsiaTheme="minorEastAsia"/>
              <w:noProof/>
              <w:lang w:val="en-CA" w:eastAsia="en-CA"/>
            </w:rPr>
          </w:pPr>
          <w:hyperlink w:anchor="_Toc469383393" w:history="1">
            <w:r w:rsidRPr="008A53DB">
              <w:rPr>
                <w:rStyle w:val="Hyperlink"/>
                <w:rFonts w:eastAsia="Times New Roman"/>
                <w:noProof/>
              </w:rPr>
              <w:t>3 - Scope</w:t>
            </w:r>
            <w:r>
              <w:rPr>
                <w:noProof/>
                <w:webHidden/>
              </w:rPr>
              <w:tab/>
            </w:r>
            <w:r>
              <w:rPr>
                <w:noProof/>
                <w:webHidden/>
              </w:rPr>
              <w:fldChar w:fldCharType="begin"/>
            </w:r>
            <w:r>
              <w:rPr>
                <w:noProof/>
                <w:webHidden/>
              </w:rPr>
              <w:instrText xml:space="preserve"> PAGEREF _Toc469383393 \h </w:instrText>
            </w:r>
            <w:r>
              <w:rPr>
                <w:noProof/>
                <w:webHidden/>
              </w:rPr>
            </w:r>
            <w:r>
              <w:rPr>
                <w:noProof/>
                <w:webHidden/>
              </w:rPr>
              <w:fldChar w:fldCharType="separate"/>
            </w:r>
            <w:r>
              <w:rPr>
                <w:noProof/>
                <w:webHidden/>
              </w:rPr>
              <w:t>4</w:t>
            </w:r>
            <w:r>
              <w:rPr>
                <w:noProof/>
                <w:webHidden/>
              </w:rPr>
              <w:fldChar w:fldCharType="end"/>
            </w:r>
          </w:hyperlink>
        </w:p>
        <w:p w14:paraId="522F5D25" w14:textId="2752528A" w:rsidR="00192695" w:rsidRDefault="00192695">
          <w:pPr>
            <w:pStyle w:val="TOC1"/>
            <w:tabs>
              <w:tab w:val="right" w:leader="dot" w:pos="9350"/>
            </w:tabs>
            <w:rPr>
              <w:rFonts w:eastAsiaTheme="minorEastAsia"/>
              <w:noProof/>
              <w:lang w:val="en-CA" w:eastAsia="en-CA"/>
            </w:rPr>
          </w:pPr>
          <w:hyperlink w:anchor="_Toc469383394" w:history="1">
            <w:r w:rsidRPr="008A53DB">
              <w:rPr>
                <w:rStyle w:val="Hyperlink"/>
                <w:noProof/>
              </w:rPr>
              <w:t>4 - Findings</w:t>
            </w:r>
            <w:r>
              <w:rPr>
                <w:noProof/>
                <w:webHidden/>
              </w:rPr>
              <w:tab/>
            </w:r>
            <w:r>
              <w:rPr>
                <w:noProof/>
                <w:webHidden/>
              </w:rPr>
              <w:fldChar w:fldCharType="begin"/>
            </w:r>
            <w:r>
              <w:rPr>
                <w:noProof/>
                <w:webHidden/>
              </w:rPr>
              <w:instrText xml:space="preserve"> PAGEREF _Toc469383394 \h </w:instrText>
            </w:r>
            <w:r>
              <w:rPr>
                <w:noProof/>
                <w:webHidden/>
              </w:rPr>
            </w:r>
            <w:r>
              <w:rPr>
                <w:noProof/>
                <w:webHidden/>
              </w:rPr>
              <w:fldChar w:fldCharType="separate"/>
            </w:r>
            <w:r>
              <w:rPr>
                <w:noProof/>
                <w:webHidden/>
              </w:rPr>
              <w:t>5</w:t>
            </w:r>
            <w:r>
              <w:rPr>
                <w:noProof/>
                <w:webHidden/>
              </w:rPr>
              <w:fldChar w:fldCharType="end"/>
            </w:r>
          </w:hyperlink>
        </w:p>
        <w:p w14:paraId="7E154282" w14:textId="27136503" w:rsidR="00192695" w:rsidRDefault="00192695">
          <w:pPr>
            <w:pStyle w:val="TOC2"/>
            <w:tabs>
              <w:tab w:val="right" w:leader="dot" w:pos="9350"/>
            </w:tabs>
            <w:rPr>
              <w:rFonts w:eastAsiaTheme="minorEastAsia"/>
              <w:noProof/>
              <w:lang w:val="en-CA" w:eastAsia="en-CA"/>
            </w:rPr>
          </w:pPr>
          <w:hyperlink w:anchor="_Toc469383395" w:history="1">
            <w:r w:rsidRPr="008A53DB">
              <w:rPr>
                <w:rStyle w:val="Hyperlink"/>
                <w:noProof/>
              </w:rPr>
              <w:t>4.1 - Funding/Financial Landscape</w:t>
            </w:r>
            <w:r>
              <w:rPr>
                <w:noProof/>
                <w:webHidden/>
              </w:rPr>
              <w:tab/>
            </w:r>
            <w:r>
              <w:rPr>
                <w:noProof/>
                <w:webHidden/>
              </w:rPr>
              <w:fldChar w:fldCharType="begin"/>
            </w:r>
            <w:r>
              <w:rPr>
                <w:noProof/>
                <w:webHidden/>
              </w:rPr>
              <w:instrText xml:space="preserve"> PAGEREF _Toc469383395 \h </w:instrText>
            </w:r>
            <w:r>
              <w:rPr>
                <w:noProof/>
                <w:webHidden/>
              </w:rPr>
            </w:r>
            <w:r>
              <w:rPr>
                <w:noProof/>
                <w:webHidden/>
              </w:rPr>
              <w:fldChar w:fldCharType="separate"/>
            </w:r>
            <w:r>
              <w:rPr>
                <w:noProof/>
                <w:webHidden/>
              </w:rPr>
              <w:t>5</w:t>
            </w:r>
            <w:r>
              <w:rPr>
                <w:noProof/>
                <w:webHidden/>
              </w:rPr>
              <w:fldChar w:fldCharType="end"/>
            </w:r>
          </w:hyperlink>
        </w:p>
        <w:p w14:paraId="10A56EEA" w14:textId="6159CFF1" w:rsidR="00192695" w:rsidRDefault="00192695">
          <w:pPr>
            <w:pStyle w:val="TOC1"/>
            <w:tabs>
              <w:tab w:val="right" w:leader="dot" w:pos="9350"/>
            </w:tabs>
            <w:rPr>
              <w:rFonts w:eastAsiaTheme="minorEastAsia"/>
              <w:noProof/>
              <w:lang w:val="en-CA" w:eastAsia="en-CA"/>
            </w:rPr>
          </w:pPr>
          <w:hyperlink w:anchor="_Toc469383396" w:history="1">
            <w:r w:rsidRPr="008A53DB">
              <w:rPr>
                <w:rStyle w:val="Hyperlink"/>
                <w:rFonts w:eastAsia="Times New Roman"/>
                <w:noProof/>
              </w:rPr>
              <w:t>5 – Assessment</w:t>
            </w:r>
            <w:r>
              <w:rPr>
                <w:noProof/>
                <w:webHidden/>
              </w:rPr>
              <w:tab/>
            </w:r>
            <w:r>
              <w:rPr>
                <w:noProof/>
                <w:webHidden/>
              </w:rPr>
              <w:fldChar w:fldCharType="begin"/>
            </w:r>
            <w:r>
              <w:rPr>
                <w:noProof/>
                <w:webHidden/>
              </w:rPr>
              <w:instrText xml:space="preserve"> PAGEREF _Toc469383396 \h </w:instrText>
            </w:r>
            <w:r>
              <w:rPr>
                <w:noProof/>
                <w:webHidden/>
              </w:rPr>
            </w:r>
            <w:r>
              <w:rPr>
                <w:noProof/>
                <w:webHidden/>
              </w:rPr>
              <w:fldChar w:fldCharType="separate"/>
            </w:r>
            <w:r>
              <w:rPr>
                <w:noProof/>
                <w:webHidden/>
              </w:rPr>
              <w:t>6</w:t>
            </w:r>
            <w:r>
              <w:rPr>
                <w:noProof/>
                <w:webHidden/>
              </w:rPr>
              <w:fldChar w:fldCharType="end"/>
            </w:r>
          </w:hyperlink>
        </w:p>
        <w:p w14:paraId="359CB9E3" w14:textId="7E2CE6C9" w:rsidR="00192695" w:rsidRDefault="00192695">
          <w:pPr>
            <w:pStyle w:val="TOC2"/>
            <w:tabs>
              <w:tab w:val="right" w:leader="dot" w:pos="9350"/>
            </w:tabs>
            <w:rPr>
              <w:rFonts w:eastAsiaTheme="minorEastAsia"/>
              <w:noProof/>
              <w:lang w:val="en-CA" w:eastAsia="en-CA"/>
            </w:rPr>
          </w:pPr>
          <w:hyperlink w:anchor="_Toc469383397" w:history="1">
            <w:r w:rsidRPr="008A53DB">
              <w:rPr>
                <w:rStyle w:val="Hyperlink"/>
                <w:noProof/>
              </w:rPr>
              <w:t>5.1 – Software Licensing Tiers</w:t>
            </w:r>
            <w:r>
              <w:rPr>
                <w:noProof/>
                <w:webHidden/>
              </w:rPr>
              <w:tab/>
            </w:r>
            <w:r>
              <w:rPr>
                <w:noProof/>
                <w:webHidden/>
              </w:rPr>
              <w:fldChar w:fldCharType="begin"/>
            </w:r>
            <w:r>
              <w:rPr>
                <w:noProof/>
                <w:webHidden/>
              </w:rPr>
              <w:instrText xml:space="preserve"> PAGEREF _Toc469383397 \h </w:instrText>
            </w:r>
            <w:r>
              <w:rPr>
                <w:noProof/>
                <w:webHidden/>
              </w:rPr>
            </w:r>
            <w:r>
              <w:rPr>
                <w:noProof/>
                <w:webHidden/>
              </w:rPr>
              <w:fldChar w:fldCharType="separate"/>
            </w:r>
            <w:r>
              <w:rPr>
                <w:noProof/>
                <w:webHidden/>
              </w:rPr>
              <w:t>6</w:t>
            </w:r>
            <w:r>
              <w:rPr>
                <w:noProof/>
                <w:webHidden/>
              </w:rPr>
              <w:fldChar w:fldCharType="end"/>
            </w:r>
          </w:hyperlink>
        </w:p>
        <w:p w14:paraId="5893F9C1" w14:textId="7C9A8406" w:rsidR="00192695" w:rsidRDefault="00192695">
          <w:pPr>
            <w:pStyle w:val="TOC2"/>
            <w:tabs>
              <w:tab w:val="right" w:leader="dot" w:pos="9350"/>
            </w:tabs>
            <w:rPr>
              <w:rFonts w:eastAsiaTheme="minorEastAsia"/>
              <w:noProof/>
              <w:lang w:val="en-CA" w:eastAsia="en-CA"/>
            </w:rPr>
          </w:pPr>
          <w:hyperlink w:anchor="_Toc469383398" w:history="1">
            <w:r w:rsidRPr="008A53DB">
              <w:rPr>
                <w:rStyle w:val="Hyperlink"/>
                <w:noProof/>
              </w:rPr>
              <w:t>5.1.1 – Tier 1 – Direct Purchase</w:t>
            </w:r>
            <w:r>
              <w:rPr>
                <w:noProof/>
                <w:webHidden/>
              </w:rPr>
              <w:tab/>
            </w:r>
            <w:r>
              <w:rPr>
                <w:noProof/>
                <w:webHidden/>
              </w:rPr>
              <w:fldChar w:fldCharType="begin"/>
            </w:r>
            <w:r>
              <w:rPr>
                <w:noProof/>
                <w:webHidden/>
              </w:rPr>
              <w:instrText xml:space="preserve"> PAGEREF _Toc469383398 \h </w:instrText>
            </w:r>
            <w:r>
              <w:rPr>
                <w:noProof/>
                <w:webHidden/>
              </w:rPr>
            </w:r>
            <w:r>
              <w:rPr>
                <w:noProof/>
                <w:webHidden/>
              </w:rPr>
              <w:fldChar w:fldCharType="separate"/>
            </w:r>
            <w:r>
              <w:rPr>
                <w:noProof/>
                <w:webHidden/>
              </w:rPr>
              <w:t>6</w:t>
            </w:r>
            <w:r>
              <w:rPr>
                <w:noProof/>
                <w:webHidden/>
              </w:rPr>
              <w:fldChar w:fldCharType="end"/>
            </w:r>
          </w:hyperlink>
        </w:p>
        <w:p w14:paraId="3FE1351C" w14:textId="72C0D3CD" w:rsidR="00192695" w:rsidRDefault="00192695">
          <w:pPr>
            <w:pStyle w:val="TOC2"/>
            <w:tabs>
              <w:tab w:val="right" w:leader="dot" w:pos="9350"/>
            </w:tabs>
            <w:rPr>
              <w:rFonts w:eastAsiaTheme="minorEastAsia"/>
              <w:noProof/>
              <w:lang w:val="en-CA" w:eastAsia="en-CA"/>
            </w:rPr>
          </w:pPr>
          <w:hyperlink w:anchor="_Toc469383399" w:history="1">
            <w:r w:rsidRPr="008A53DB">
              <w:rPr>
                <w:rStyle w:val="Hyperlink"/>
                <w:noProof/>
              </w:rPr>
              <w:t>5.1.2 – Tier 2 – Funded by select departments</w:t>
            </w:r>
            <w:r>
              <w:rPr>
                <w:noProof/>
                <w:webHidden/>
              </w:rPr>
              <w:tab/>
            </w:r>
            <w:r>
              <w:rPr>
                <w:noProof/>
                <w:webHidden/>
              </w:rPr>
              <w:fldChar w:fldCharType="begin"/>
            </w:r>
            <w:r>
              <w:rPr>
                <w:noProof/>
                <w:webHidden/>
              </w:rPr>
              <w:instrText xml:space="preserve"> PAGEREF _Toc469383399 \h </w:instrText>
            </w:r>
            <w:r>
              <w:rPr>
                <w:noProof/>
                <w:webHidden/>
              </w:rPr>
            </w:r>
            <w:r>
              <w:rPr>
                <w:noProof/>
                <w:webHidden/>
              </w:rPr>
              <w:fldChar w:fldCharType="separate"/>
            </w:r>
            <w:r>
              <w:rPr>
                <w:noProof/>
                <w:webHidden/>
              </w:rPr>
              <w:t>6</w:t>
            </w:r>
            <w:r>
              <w:rPr>
                <w:noProof/>
                <w:webHidden/>
              </w:rPr>
              <w:fldChar w:fldCharType="end"/>
            </w:r>
          </w:hyperlink>
        </w:p>
        <w:p w14:paraId="3DBF3E66" w14:textId="5FBD872B" w:rsidR="00192695" w:rsidRDefault="00192695">
          <w:pPr>
            <w:pStyle w:val="TOC2"/>
            <w:tabs>
              <w:tab w:val="right" w:leader="dot" w:pos="9350"/>
            </w:tabs>
            <w:rPr>
              <w:rFonts w:eastAsiaTheme="minorEastAsia"/>
              <w:noProof/>
              <w:lang w:val="en-CA" w:eastAsia="en-CA"/>
            </w:rPr>
          </w:pPr>
          <w:hyperlink w:anchor="_Toc469383400" w:history="1">
            <w:r w:rsidRPr="008A53DB">
              <w:rPr>
                <w:rStyle w:val="Hyperlink"/>
                <w:noProof/>
              </w:rPr>
              <w:t>5.1.3 – Tier 3 – Paid from "central fund" and attributed to all faculties</w:t>
            </w:r>
            <w:r>
              <w:rPr>
                <w:noProof/>
                <w:webHidden/>
              </w:rPr>
              <w:tab/>
            </w:r>
            <w:r>
              <w:rPr>
                <w:noProof/>
                <w:webHidden/>
              </w:rPr>
              <w:fldChar w:fldCharType="begin"/>
            </w:r>
            <w:r>
              <w:rPr>
                <w:noProof/>
                <w:webHidden/>
              </w:rPr>
              <w:instrText xml:space="preserve"> PAGEREF _Toc469383400 \h </w:instrText>
            </w:r>
            <w:r>
              <w:rPr>
                <w:noProof/>
                <w:webHidden/>
              </w:rPr>
            </w:r>
            <w:r>
              <w:rPr>
                <w:noProof/>
                <w:webHidden/>
              </w:rPr>
              <w:fldChar w:fldCharType="separate"/>
            </w:r>
            <w:r>
              <w:rPr>
                <w:noProof/>
                <w:webHidden/>
              </w:rPr>
              <w:t>6</w:t>
            </w:r>
            <w:r>
              <w:rPr>
                <w:noProof/>
                <w:webHidden/>
              </w:rPr>
              <w:fldChar w:fldCharType="end"/>
            </w:r>
          </w:hyperlink>
        </w:p>
        <w:p w14:paraId="6CC9B6FA" w14:textId="36BA6BBF" w:rsidR="00192695" w:rsidRDefault="00192695">
          <w:pPr>
            <w:pStyle w:val="TOC1"/>
            <w:tabs>
              <w:tab w:val="right" w:leader="dot" w:pos="9350"/>
            </w:tabs>
            <w:rPr>
              <w:rFonts w:eastAsiaTheme="minorEastAsia"/>
              <w:noProof/>
              <w:lang w:val="en-CA" w:eastAsia="en-CA"/>
            </w:rPr>
          </w:pPr>
          <w:hyperlink w:anchor="_Toc469383401" w:history="1">
            <w:r w:rsidRPr="008A53DB">
              <w:rPr>
                <w:rStyle w:val="Hyperlink"/>
                <w:noProof/>
              </w:rPr>
              <w:t>6 – Options Analysis</w:t>
            </w:r>
            <w:r>
              <w:rPr>
                <w:noProof/>
                <w:webHidden/>
              </w:rPr>
              <w:tab/>
            </w:r>
            <w:r>
              <w:rPr>
                <w:noProof/>
                <w:webHidden/>
              </w:rPr>
              <w:fldChar w:fldCharType="begin"/>
            </w:r>
            <w:r>
              <w:rPr>
                <w:noProof/>
                <w:webHidden/>
              </w:rPr>
              <w:instrText xml:space="preserve"> PAGEREF _Toc469383401 \h </w:instrText>
            </w:r>
            <w:r>
              <w:rPr>
                <w:noProof/>
                <w:webHidden/>
              </w:rPr>
            </w:r>
            <w:r>
              <w:rPr>
                <w:noProof/>
                <w:webHidden/>
              </w:rPr>
              <w:fldChar w:fldCharType="separate"/>
            </w:r>
            <w:r>
              <w:rPr>
                <w:noProof/>
                <w:webHidden/>
              </w:rPr>
              <w:t>6</w:t>
            </w:r>
            <w:r>
              <w:rPr>
                <w:noProof/>
                <w:webHidden/>
              </w:rPr>
              <w:fldChar w:fldCharType="end"/>
            </w:r>
          </w:hyperlink>
        </w:p>
        <w:p w14:paraId="117D928E" w14:textId="3C035154" w:rsidR="00192695" w:rsidRDefault="00192695">
          <w:pPr>
            <w:pStyle w:val="TOC2"/>
            <w:tabs>
              <w:tab w:val="right" w:leader="dot" w:pos="9350"/>
            </w:tabs>
            <w:rPr>
              <w:rFonts w:eastAsiaTheme="minorEastAsia"/>
              <w:noProof/>
              <w:lang w:val="en-CA" w:eastAsia="en-CA"/>
            </w:rPr>
          </w:pPr>
          <w:hyperlink w:anchor="_Toc469383402" w:history="1">
            <w:r w:rsidRPr="008A53DB">
              <w:rPr>
                <w:rStyle w:val="Hyperlink"/>
                <w:noProof/>
              </w:rPr>
              <w:t>6.1 – Support for Tier 3 Software Licenses only (Central Model)</w:t>
            </w:r>
            <w:r>
              <w:rPr>
                <w:noProof/>
                <w:webHidden/>
              </w:rPr>
              <w:tab/>
            </w:r>
            <w:r>
              <w:rPr>
                <w:noProof/>
                <w:webHidden/>
              </w:rPr>
              <w:fldChar w:fldCharType="begin"/>
            </w:r>
            <w:r>
              <w:rPr>
                <w:noProof/>
                <w:webHidden/>
              </w:rPr>
              <w:instrText xml:space="preserve"> PAGEREF _Toc469383402 \h </w:instrText>
            </w:r>
            <w:r>
              <w:rPr>
                <w:noProof/>
                <w:webHidden/>
              </w:rPr>
            </w:r>
            <w:r>
              <w:rPr>
                <w:noProof/>
                <w:webHidden/>
              </w:rPr>
              <w:fldChar w:fldCharType="separate"/>
            </w:r>
            <w:r>
              <w:rPr>
                <w:noProof/>
                <w:webHidden/>
              </w:rPr>
              <w:t>6</w:t>
            </w:r>
            <w:r>
              <w:rPr>
                <w:noProof/>
                <w:webHidden/>
              </w:rPr>
              <w:fldChar w:fldCharType="end"/>
            </w:r>
          </w:hyperlink>
        </w:p>
        <w:p w14:paraId="196BFD46" w14:textId="3229E04F" w:rsidR="00192695" w:rsidRDefault="00192695">
          <w:pPr>
            <w:pStyle w:val="TOC2"/>
            <w:tabs>
              <w:tab w:val="left" w:pos="880"/>
              <w:tab w:val="right" w:leader="dot" w:pos="9350"/>
            </w:tabs>
            <w:rPr>
              <w:rFonts w:eastAsiaTheme="minorEastAsia"/>
              <w:noProof/>
              <w:lang w:val="en-CA" w:eastAsia="en-CA"/>
            </w:rPr>
          </w:pPr>
          <w:hyperlink w:anchor="_Toc469383403" w:history="1">
            <w:r w:rsidRPr="008A53DB">
              <w:rPr>
                <w:rStyle w:val="Hyperlink"/>
                <w:noProof/>
              </w:rPr>
              <w:t>6.2</w:t>
            </w:r>
            <w:r>
              <w:rPr>
                <w:rFonts w:eastAsiaTheme="minorEastAsia"/>
                <w:noProof/>
                <w:lang w:val="en-CA" w:eastAsia="en-CA"/>
              </w:rPr>
              <w:tab/>
            </w:r>
            <w:r w:rsidRPr="008A53DB">
              <w:rPr>
                <w:rStyle w:val="Hyperlink"/>
                <w:noProof/>
              </w:rPr>
              <w:t>– Support Tier 2 Software Licenses only (Networked Model)</w:t>
            </w:r>
            <w:r>
              <w:rPr>
                <w:noProof/>
                <w:webHidden/>
              </w:rPr>
              <w:tab/>
            </w:r>
            <w:r>
              <w:rPr>
                <w:noProof/>
                <w:webHidden/>
              </w:rPr>
              <w:fldChar w:fldCharType="begin"/>
            </w:r>
            <w:r>
              <w:rPr>
                <w:noProof/>
                <w:webHidden/>
              </w:rPr>
              <w:instrText xml:space="preserve"> PAGEREF _Toc469383403 \h </w:instrText>
            </w:r>
            <w:r>
              <w:rPr>
                <w:noProof/>
                <w:webHidden/>
              </w:rPr>
            </w:r>
            <w:r>
              <w:rPr>
                <w:noProof/>
                <w:webHidden/>
              </w:rPr>
              <w:fldChar w:fldCharType="separate"/>
            </w:r>
            <w:r>
              <w:rPr>
                <w:noProof/>
                <w:webHidden/>
              </w:rPr>
              <w:t>8</w:t>
            </w:r>
            <w:r>
              <w:rPr>
                <w:noProof/>
                <w:webHidden/>
              </w:rPr>
              <w:fldChar w:fldCharType="end"/>
            </w:r>
          </w:hyperlink>
        </w:p>
        <w:p w14:paraId="5EE015EF" w14:textId="4181BA53" w:rsidR="00192695" w:rsidRDefault="00192695">
          <w:pPr>
            <w:pStyle w:val="TOC2"/>
            <w:tabs>
              <w:tab w:val="right" w:leader="dot" w:pos="9350"/>
            </w:tabs>
            <w:rPr>
              <w:rFonts w:eastAsiaTheme="minorEastAsia"/>
              <w:noProof/>
              <w:lang w:val="en-CA" w:eastAsia="en-CA"/>
            </w:rPr>
          </w:pPr>
          <w:hyperlink w:anchor="_Toc469383404" w:history="1">
            <w:r w:rsidRPr="008A53DB">
              <w:rPr>
                <w:rStyle w:val="Hyperlink"/>
                <w:noProof/>
              </w:rPr>
              <w:t>6.3 – Adoption of fully Decentralized (Tier 1) Software Licensing Model only (Local)</w:t>
            </w:r>
            <w:r>
              <w:rPr>
                <w:noProof/>
                <w:webHidden/>
              </w:rPr>
              <w:tab/>
            </w:r>
            <w:r>
              <w:rPr>
                <w:noProof/>
                <w:webHidden/>
              </w:rPr>
              <w:fldChar w:fldCharType="begin"/>
            </w:r>
            <w:r>
              <w:rPr>
                <w:noProof/>
                <w:webHidden/>
              </w:rPr>
              <w:instrText xml:space="preserve"> PAGEREF _Toc469383404 \h </w:instrText>
            </w:r>
            <w:r>
              <w:rPr>
                <w:noProof/>
                <w:webHidden/>
              </w:rPr>
            </w:r>
            <w:r>
              <w:rPr>
                <w:noProof/>
                <w:webHidden/>
              </w:rPr>
              <w:fldChar w:fldCharType="separate"/>
            </w:r>
            <w:r>
              <w:rPr>
                <w:noProof/>
                <w:webHidden/>
              </w:rPr>
              <w:t>8</w:t>
            </w:r>
            <w:r>
              <w:rPr>
                <w:noProof/>
                <w:webHidden/>
              </w:rPr>
              <w:fldChar w:fldCharType="end"/>
            </w:r>
          </w:hyperlink>
        </w:p>
        <w:p w14:paraId="55B651CE" w14:textId="32D98BFE" w:rsidR="00192695" w:rsidRDefault="00192695">
          <w:pPr>
            <w:pStyle w:val="TOC1"/>
            <w:tabs>
              <w:tab w:val="right" w:leader="dot" w:pos="9350"/>
            </w:tabs>
            <w:rPr>
              <w:rFonts w:eastAsiaTheme="minorEastAsia"/>
              <w:noProof/>
              <w:lang w:val="en-CA" w:eastAsia="en-CA"/>
            </w:rPr>
          </w:pPr>
          <w:hyperlink w:anchor="_Toc469383405" w:history="1">
            <w:r w:rsidRPr="008A53DB">
              <w:rPr>
                <w:rStyle w:val="Hyperlink"/>
                <w:noProof/>
              </w:rPr>
              <w:t>7 - Conclusions</w:t>
            </w:r>
            <w:r>
              <w:rPr>
                <w:noProof/>
                <w:webHidden/>
              </w:rPr>
              <w:tab/>
            </w:r>
            <w:r>
              <w:rPr>
                <w:noProof/>
                <w:webHidden/>
              </w:rPr>
              <w:fldChar w:fldCharType="begin"/>
            </w:r>
            <w:r>
              <w:rPr>
                <w:noProof/>
                <w:webHidden/>
              </w:rPr>
              <w:instrText xml:space="preserve"> PAGEREF _Toc469383405 \h </w:instrText>
            </w:r>
            <w:r>
              <w:rPr>
                <w:noProof/>
                <w:webHidden/>
              </w:rPr>
            </w:r>
            <w:r>
              <w:rPr>
                <w:noProof/>
                <w:webHidden/>
              </w:rPr>
              <w:fldChar w:fldCharType="separate"/>
            </w:r>
            <w:r>
              <w:rPr>
                <w:noProof/>
                <w:webHidden/>
              </w:rPr>
              <w:t>9</w:t>
            </w:r>
            <w:r>
              <w:rPr>
                <w:noProof/>
                <w:webHidden/>
              </w:rPr>
              <w:fldChar w:fldCharType="end"/>
            </w:r>
          </w:hyperlink>
        </w:p>
        <w:p w14:paraId="4E6D3FD3" w14:textId="34433C89" w:rsidR="00192695" w:rsidRDefault="00192695">
          <w:pPr>
            <w:pStyle w:val="TOC1"/>
            <w:tabs>
              <w:tab w:val="right" w:leader="dot" w:pos="9350"/>
            </w:tabs>
            <w:rPr>
              <w:rFonts w:eastAsiaTheme="minorEastAsia"/>
              <w:noProof/>
              <w:lang w:val="en-CA" w:eastAsia="en-CA"/>
            </w:rPr>
          </w:pPr>
          <w:hyperlink w:anchor="_Toc469383406" w:history="1">
            <w:r w:rsidRPr="008A53DB">
              <w:rPr>
                <w:rStyle w:val="Hyperlink"/>
                <w:noProof/>
              </w:rPr>
              <w:t>8 - Appendixes</w:t>
            </w:r>
            <w:r>
              <w:rPr>
                <w:noProof/>
                <w:webHidden/>
              </w:rPr>
              <w:tab/>
            </w:r>
            <w:r>
              <w:rPr>
                <w:noProof/>
                <w:webHidden/>
              </w:rPr>
              <w:fldChar w:fldCharType="begin"/>
            </w:r>
            <w:r>
              <w:rPr>
                <w:noProof/>
                <w:webHidden/>
              </w:rPr>
              <w:instrText xml:space="preserve"> PAGEREF _Toc469383406 \h </w:instrText>
            </w:r>
            <w:r>
              <w:rPr>
                <w:noProof/>
                <w:webHidden/>
              </w:rPr>
            </w:r>
            <w:r>
              <w:rPr>
                <w:noProof/>
                <w:webHidden/>
              </w:rPr>
              <w:fldChar w:fldCharType="separate"/>
            </w:r>
            <w:r>
              <w:rPr>
                <w:noProof/>
                <w:webHidden/>
              </w:rPr>
              <w:t>11</w:t>
            </w:r>
            <w:r>
              <w:rPr>
                <w:noProof/>
                <w:webHidden/>
              </w:rPr>
              <w:fldChar w:fldCharType="end"/>
            </w:r>
          </w:hyperlink>
        </w:p>
        <w:p w14:paraId="50366262" w14:textId="674A266D" w:rsidR="00192695" w:rsidRDefault="00192695">
          <w:pPr>
            <w:pStyle w:val="TOC2"/>
            <w:tabs>
              <w:tab w:val="right" w:leader="dot" w:pos="9350"/>
            </w:tabs>
            <w:rPr>
              <w:rFonts w:eastAsiaTheme="minorEastAsia"/>
              <w:noProof/>
              <w:lang w:val="en-CA" w:eastAsia="en-CA"/>
            </w:rPr>
          </w:pPr>
          <w:hyperlink w:anchor="_Toc469383407" w:history="1">
            <w:r w:rsidRPr="008A53DB">
              <w:rPr>
                <w:rStyle w:val="Hyperlink"/>
                <w:noProof/>
              </w:rPr>
              <w:t>Appendix A – Software Licensing Task Group Membership</w:t>
            </w:r>
            <w:r>
              <w:rPr>
                <w:noProof/>
                <w:webHidden/>
              </w:rPr>
              <w:tab/>
            </w:r>
            <w:r>
              <w:rPr>
                <w:noProof/>
                <w:webHidden/>
              </w:rPr>
              <w:fldChar w:fldCharType="begin"/>
            </w:r>
            <w:r>
              <w:rPr>
                <w:noProof/>
                <w:webHidden/>
              </w:rPr>
              <w:instrText xml:space="preserve"> PAGEREF _Toc469383407 \h </w:instrText>
            </w:r>
            <w:r>
              <w:rPr>
                <w:noProof/>
                <w:webHidden/>
              </w:rPr>
            </w:r>
            <w:r>
              <w:rPr>
                <w:noProof/>
                <w:webHidden/>
              </w:rPr>
              <w:fldChar w:fldCharType="separate"/>
            </w:r>
            <w:r>
              <w:rPr>
                <w:noProof/>
                <w:webHidden/>
              </w:rPr>
              <w:t>11</w:t>
            </w:r>
            <w:r>
              <w:rPr>
                <w:noProof/>
                <w:webHidden/>
              </w:rPr>
              <w:fldChar w:fldCharType="end"/>
            </w:r>
          </w:hyperlink>
        </w:p>
        <w:p w14:paraId="5169368C" w14:textId="6779E644" w:rsidR="00192695" w:rsidRDefault="00192695">
          <w:pPr>
            <w:pStyle w:val="TOC2"/>
            <w:tabs>
              <w:tab w:val="right" w:leader="dot" w:pos="9350"/>
            </w:tabs>
            <w:rPr>
              <w:rFonts w:eastAsiaTheme="minorEastAsia"/>
              <w:noProof/>
              <w:lang w:val="en-CA" w:eastAsia="en-CA"/>
            </w:rPr>
          </w:pPr>
          <w:hyperlink w:anchor="_Toc469383408" w:history="1">
            <w:r w:rsidRPr="008A53DB">
              <w:rPr>
                <w:rStyle w:val="Hyperlink"/>
                <w:noProof/>
              </w:rPr>
              <w:t>Appendix B – Software Licensing Tiers</w:t>
            </w:r>
            <w:r>
              <w:rPr>
                <w:noProof/>
                <w:webHidden/>
              </w:rPr>
              <w:tab/>
            </w:r>
            <w:r>
              <w:rPr>
                <w:noProof/>
                <w:webHidden/>
              </w:rPr>
              <w:fldChar w:fldCharType="begin"/>
            </w:r>
            <w:r>
              <w:rPr>
                <w:noProof/>
                <w:webHidden/>
              </w:rPr>
              <w:instrText xml:space="preserve"> PAGEREF _Toc469383408 \h </w:instrText>
            </w:r>
            <w:r>
              <w:rPr>
                <w:noProof/>
                <w:webHidden/>
              </w:rPr>
            </w:r>
            <w:r>
              <w:rPr>
                <w:noProof/>
                <w:webHidden/>
              </w:rPr>
              <w:fldChar w:fldCharType="separate"/>
            </w:r>
            <w:r>
              <w:rPr>
                <w:noProof/>
                <w:webHidden/>
              </w:rPr>
              <w:t>11</w:t>
            </w:r>
            <w:r>
              <w:rPr>
                <w:noProof/>
                <w:webHidden/>
              </w:rPr>
              <w:fldChar w:fldCharType="end"/>
            </w:r>
          </w:hyperlink>
        </w:p>
        <w:p w14:paraId="4C5E76BE" w14:textId="28F52026" w:rsidR="00192695" w:rsidRDefault="00192695">
          <w:pPr>
            <w:pStyle w:val="TOC2"/>
            <w:tabs>
              <w:tab w:val="right" w:leader="dot" w:pos="9350"/>
            </w:tabs>
            <w:rPr>
              <w:rFonts w:eastAsiaTheme="minorEastAsia"/>
              <w:noProof/>
              <w:lang w:val="en-CA" w:eastAsia="en-CA"/>
            </w:rPr>
          </w:pPr>
          <w:hyperlink w:anchor="_Toc469383409" w:history="1">
            <w:r w:rsidRPr="008A53DB">
              <w:rPr>
                <w:rStyle w:val="Hyperlink"/>
                <w:noProof/>
              </w:rPr>
              <w:t>Appendix C – Software Licensing Levels and Costs</w:t>
            </w:r>
            <w:r>
              <w:rPr>
                <w:noProof/>
                <w:webHidden/>
              </w:rPr>
              <w:tab/>
            </w:r>
            <w:r>
              <w:rPr>
                <w:noProof/>
                <w:webHidden/>
              </w:rPr>
              <w:fldChar w:fldCharType="begin"/>
            </w:r>
            <w:r>
              <w:rPr>
                <w:noProof/>
                <w:webHidden/>
              </w:rPr>
              <w:instrText xml:space="preserve"> PAGEREF _Toc469383409 \h </w:instrText>
            </w:r>
            <w:r>
              <w:rPr>
                <w:noProof/>
                <w:webHidden/>
              </w:rPr>
            </w:r>
            <w:r>
              <w:rPr>
                <w:noProof/>
                <w:webHidden/>
              </w:rPr>
              <w:fldChar w:fldCharType="separate"/>
            </w:r>
            <w:r>
              <w:rPr>
                <w:noProof/>
                <w:webHidden/>
              </w:rPr>
              <w:t>11</w:t>
            </w:r>
            <w:r>
              <w:rPr>
                <w:noProof/>
                <w:webHidden/>
              </w:rPr>
              <w:fldChar w:fldCharType="end"/>
            </w:r>
          </w:hyperlink>
        </w:p>
        <w:p w14:paraId="5EFE47B7" w14:textId="3BFAD170" w:rsidR="00192695" w:rsidRDefault="00192695">
          <w:pPr>
            <w:pStyle w:val="TOC2"/>
            <w:tabs>
              <w:tab w:val="right" w:leader="dot" w:pos="9350"/>
            </w:tabs>
            <w:rPr>
              <w:rFonts w:eastAsiaTheme="minorEastAsia"/>
              <w:noProof/>
              <w:lang w:val="en-CA" w:eastAsia="en-CA"/>
            </w:rPr>
          </w:pPr>
          <w:hyperlink w:anchor="_Toc469383410" w:history="1">
            <w:r w:rsidRPr="008A53DB">
              <w:rPr>
                <w:rStyle w:val="Hyperlink"/>
                <w:noProof/>
              </w:rPr>
              <w:t>Appendix D – Enterprise Information Technology Advisory Committee Membership</w:t>
            </w:r>
            <w:r>
              <w:rPr>
                <w:noProof/>
                <w:webHidden/>
              </w:rPr>
              <w:tab/>
            </w:r>
            <w:r>
              <w:rPr>
                <w:noProof/>
                <w:webHidden/>
              </w:rPr>
              <w:fldChar w:fldCharType="begin"/>
            </w:r>
            <w:r>
              <w:rPr>
                <w:noProof/>
                <w:webHidden/>
              </w:rPr>
              <w:instrText xml:space="preserve"> PAGEREF _Toc469383410 \h </w:instrText>
            </w:r>
            <w:r>
              <w:rPr>
                <w:noProof/>
                <w:webHidden/>
              </w:rPr>
            </w:r>
            <w:r>
              <w:rPr>
                <w:noProof/>
                <w:webHidden/>
              </w:rPr>
              <w:fldChar w:fldCharType="separate"/>
            </w:r>
            <w:r>
              <w:rPr>
                <w:noProof/>
                <w:webHidden/>
              </w:rPr>
              <w:t>12</w:t>
            </w:r>
            <w:r>
              <w:rPr>
                <w:noProof/>
                <w:webHidden/>
              </w:rPr>
              <w:fldChar w:fldCharType="end"/>
            </w:r>
          </w:hyperlink>
        </w:p>
        <w:p w14:paraId="5C121883" w14:textId="58FBABAB" w:rsidR="00192695" w:rsidRDefault="00192695">
          <w:pPr>
            <w:pStyle w:val="TOC2"/>
            <w:tabs>
              <w:tab w:val="right" w:leader="dot" w:pos="9350"/>
            </w:tabs>
            <w:rPr>
              <w:rFonts w:eastAsiaTheme="minorEastAsia"/>
              <w:noProof/>
              <w:lang w:val="en-CA" w:eastAsia="en-CA"/>
            </w:rPr>
          </w:pPr>
          <w:hyperlink w:anchor="_Toc469383411" w:history="1">
            <w:r w:rsidRPr="008A53DB">
              <w:rPr>
                <w:rStyle w:val="Hyperlink"/>
                <w:noProof/>
              </w:rPr>
              <w:t>Appendix E – The Queen’s Activity Based Budget Model</w:t>
            </w:r>
            <w:r>
              <w:rPr>
                <w:noProof/>
                <w:webHidden/>
              </w:rPr>
              <w:tab/>
            </w:r>
            <w:r>
              <w:rPr>
                <w:noProof/>
                <w:webHidden/>
              </w:rPr>
              <w:fldChar w:fldCharType="begin"/>
            </w:r>
            <w:r>
              <w:rPr>
                <w:noProof/>
                <w:webHidden/>
              </w:rPr>
              <w:instrText xml:space="preserve"> PAGEREF _Toc469383411 \h </w:instrText>
            </w:r>
            <w:r>
              <w:rPr>
                <w:noProof/>
                <w:webHidden/>
              </w:rPr>
            </w:r>
            <w:r>
              <w:rPr>
                <w:noProof/>
                <w:webHidden/>
              </w:rPr>
              <w:fldChar w:fldCharType="separate"/>
            </w:r>
            <w:r>
              <w:rPr>
                <w:noProof/>
                <w:webHidden/>
              </w:rPr>
              <w:t>12</w:t>
            </w:r>
            <w:r>
              <w:rPr>
                <w:noProof/>
                <w:webHidden/>
              </w:rPr>
              <w:fldChar w:fldCharType="end"/>
            </w:r>
          </w:hyperlink>
        </w:p>
        <w:p w14:paraId="14FA37D4" w14:textId="41D6742F" w:rsidR="00D81569" w:rsidRDefault="00D81569" w:rsidP="00DE3CCD">
          <w:pPr>
            <w:spacing w:line="240" w:lineRule="auto"/>
          </w:pPr>
          <w:r>
            <w:rPr>
              <w:b/>
              <w:bCs/>
              <w:noProof/>
            </w:rPr>
            <w:fldChar w:fldCharType="end"/>
          </w:r>
        </w:p>
      </w:sdtContent>
    </w:sdt>
    <w:p w14:paraId="60264443" w14:textId="0A40D0CA" w:rsidR="00775A6D" w:rsidRDefault="00035382" w:rsidP="00DE3CCD">
      <w:pPr>
        <w:pStyle w:val="Heading1"/>
        <w:spacing w:line="240" w:lineRule="auto"/>
      </w:pPr>
      <w:bookmarkStart w:id="1" w:name="_Toc469383384"/>
      <w:r>
        <w:lastRenderedPageBreak/>
        <w:t>1</w:t>
      </w:r>
      <w:r w:rsidR="001E0112">
        <w:t xml:space="preserve"> </w:t>
      </w:r>
      <w:r w:rsidR="00775A6D">
        <w:t>–</w:t>
      </w:r>
      <w:r w:rsidR="001E0112" w:rsidRPr="001E0112">
        <w:t xml:space="preserve"> </w:t>
      </w:r>
      <w:r w:rsidR="00D80230" w:rsidRPr="001E0112">
        <w:t>Introduction</w:t>
      </w:r>
      <w:bookmarkEnd w:id="1"/>
    </w:p>
    <w:p w14:paraId="37159808" w14:textId="77777777" w:rsidR="005F0BAA" w:rsidRDefault="00035382" w:rsidP="00DE3CCD">
      <w:pPr>
        <w:pStyle w:val="Heading2"/>
        <w:spacing w:line="240" w:lineRule="auto"/>
      </w:pPr>
      <w:bookmarkStart w:id="2" w:name="_Toc469383385"/>
      <w:r>
        <w:t>1</w:t>
      </w:r>
      <w:r w:rsidR="001E0112" w:rsidRPr="001E0112">
        <w:t xml:space="preserve">.1 - </w:t>
      </w:r>
      <w:r w:rsidR="00D80230" w:rsidRPr="001E0112">
        <w:t>Business Need</w:t>
      </w:r>
      <w:bookmarkEnd w:id="2"/>
    </w:p>
    <w:p w14:paraId="52762EA4" w14:textId="77777777" w:rsidR="00355567" w:rsidRPr="005F0BAA" w:rsidRDefault="00355567" w:rsidP="00DE3CCD">
      <w:pPr>
        <w:spacing w:line="240" w:lineRule="auto"/>
        <w:rPr>
          <w:rFonts w:asciiTheme="majorHAnsi" w:eastAsiaTheme="majorEastAsia" w:hAnsiTheme="majorHAnsi"/>
          <w:sz w:val="26"/>
          <w:szCs w:val="26"/>
        </w:rPr>
      </w:pPr>
      <w:r>
        <w:t xml:space="preserve">Software License Management </w:t>
      </w:r>
      <w:r w:rsidR="00454965">
        <w:t xml:space="preserve">(SLM) </w:t>
      </w:r>
      <w:r>
        <w:t>f</w:t>
      </w:r>
      <w:r w:rsidR="002726CC">
        <w:t>or enterprise software</w:t>
      </w:r>
      <w:r>
        <w:t xml:space="preserve"> has </w:t>
      </w:r>
      <w:r w:rsidR="00491B0F">
        <w:t>never been formally addressed at Queen’s University</w:t>
      </w:r>
      <w:r w:rsidR="002726CC">
        <w:t>. In the absence of a software licensing office, t</w:t>
      </w:r>
      <w:r>
        <w:t xml:space="preserve">he Campus Computer Store (CCS) </w:t>
      </w:r>
      <w:r w:rsidR="00BB0543">
        <w:t xml:space="preserve">has </w:t>
      </w:r>
      <w:r>
        <w:t>been the unit most heavily involved in the negotiation, procurement, billing, distribution and maintenance of several software titles used by the insti</w:t>
      </w:r>
      <w:r w:rsidR="002726CC">
        <w:t xml:space="preserve">tution. This ancillary unit </w:t>
      </w:r>
      <w:r>
        <w:t>operated with a cost recovery model by which a markup was applied to each software title sold to the end users and/or departments, in order to fund the administrative roles required to provide this service to the campus.</w:t>
      </w:r>
      <w:r w:rsidR="002726CC">
        <w:t xml:space="preserve"> </w:t>
      </w:r>
      <w:r>
        <w:t>The licenses that were adopted by CCS were selected based on their ability to provide revenue to the unit, rather than the strategic alignment the software may h</w:t>
      </w:r>
      <w:r w:rsidR="00FC6BE8">
        <w:t xml:space="preserve">ave provided to the university. </w:t>
      </w:r>
      <w:r w:rsidR="002726CC">
        <w:t xml:space="preserve">In many instances this recovery model fell short of projections and the resale of site licensed software to departments resulted in a net loss to the unit. </w:t>
      </w:r>
      <w:r>
        <w:t xml:space="preserve">Those titles </w:t>
      </w:r>
      <w:r w:rsidR="00BB0543">
        <w:t>that did</w:t>
      </w:r>
      <w:r w:rsidR="002726CC">
        <w:t xml:space="preserve"> </w:t>
      </w:r>
      <w:r>
        <w:t>not offer a viable cost recovery model were left to the individual departments, or end users to procure and manage individually.</w:t>
      </w:r>
      <w:r w:rsidR="002726CC">
        <w:t xml:space="preserve"> Value</w:t>
      </w:r>
      <w:r w:rsidR="00DE2585">
        <w:t xml:space="preserve"> </w:t>
      </w:r>
      <w:r w:rsidR="002726CC">
        <w:t xml:space="preserve">to the university </w:t>
      </w:r>
      <w:r w:rsidR="00BB0543">
        <w:t xml:space="preserve">was realized </w:t>
      </w:r>
      <w:r w:rsidR="002726CC">
        <w:t xml:space="preserve">through the economies of scale that the service offered on the titles that were managed and distributed by the unit. Costs were </w:t>
      </w:r>
      <w:r w:rsidR="00BB0543">
        <w:t xml:space="preserve">reduced </w:t>
      </w:r>
      <w:r w:rsidR="002726CC">
        <w:t xml:space="preserve">through this volume licensing, and academic units </w:t>
      </w:r>
      <w:r w:rsidR="00683972">
        <w:t>were</w:t>
      </w:r>
      <w:r w:rsidR="002726CC">
        <w:t xml:space="preserve"> not burdened with the need to </w:t>
      </w:r>
      <w:r w:rsidR="00FC6BE8">
        <w:t>assign resources to</w:t>
      </w:r>
      <w:r w:rsidR="002726CC">
        <w:t xml:space="preserve"> take on the procurement and distribution</w:t>
      </w:r>
      <w:r w:rsidR="00FC6BE8">
        <w:t xml:space="preserve"> of software.</w:t>
      </w:r>
      <w:r w:rsidR="00035382">
        <w:t xml:space="preserve"> Even with the value-add</w:t>
      </w:r>
      <w:r w:rsidR="00BB0543">
        <w:t>ed</w:t>
      </w:r>
      <w:r w:rsidR="00035382">
        <w:t xml:space="preserve"> provided, and cost-reduction realized, CCS was unable to scale the service to the strategic level </w:t>
      </w:r>
      <w:r w:rsidR="00BB0543">
        <w:t xml:space="preserve">necessary for cost-recovery of </w:t>
      </w:r>
      <w:r w:rsidR="00035382">
        <w:t xml:space="preserve">SLM. With CCS now closed, the opportunity exists to develop a </w:t>
      </w:r>
      <w:r w:rsidR="00C632AA">
        <w:t xml:space="preserve">comprehensive </w:t>
      </w:r>
      <w:r w:rsidR="00035382">
        <w:t>enterprise approach to SLM and to create a framework that will serve the institution in a cost effective, efficient and transparent manner.</w:t>
      </w:r>
    </w:p>
    <w:p w14:paraId="57CE8418" w14:textId="77777777" w:rsidR="00D80230" w:rsidRDefault="00035382" w:rsidP="00DE3CCD">
      <w:pPr>
        <w:pStyle w:val="Heading2"/>
        <w:spacing w:line="240" w:lineRule="auto"/>
      </w:pPr>
      <w:bookmarkStart w:id="3" w:name="_Toc469383386"/>
      <w:r>
        <w:t>1</w:t>
      </w:r>
      <w:r w:rsidR="001E0112" w:rsidRPr="001E0112">
        <w:t xml:space="preserve">.2 </w:t>
      </w:r>
      <w:r w:rsidR="005F0BAA">
        <w:t>–</w:t>
      </w:r>
      <w:r w:rsidR="001E0112" w:rsidRPr="001E0112">
        <w:t xml:space="preserve"> </w:t>
      </w:r>
      <w:r w:rsidR="005F0BAA">
        <w:t>Strategic Alignment</w:t>
      </w:r>
      <w:bookmarkEnd w:id="3"/>
    </w:p>
    <w:p w14:paraId="28AE5F84" w14:textId="77777777" w:rsidR="005F0BAA" w:rsidRDefault="005F0BAA" w:rsidP="00DE3CCD">
      <w:pPr>
        <w:spacing w:line="240" w:lineRule="auto"/>
      </w:pPr>
      <w:r>
        <w:t xml:space="preserve">Addressing the need for SLM </w:t>
      </w:r>
      <w:r w:rsidR="00C632AA">
        <w:t xml:space="preserve">aligns </w:t>
      </w:r>
      <w:r>
        <w:t>with the Queen’s Strategic Framework th</w:t>
      </w:r>
      <w:r w:rsidR="00C632AA">
        <w:t>r</w:t>
      </w:r>
      <w:r>
        <w:t xml:space="preserve">ough its support of </w:t>
      </w:r>
      <w:r w:rsidR="00303486">
        <w:t>“</w:t>
      </w:r>
      <w:r w:rsidRPr="00303486">
        <w:rPr>
          <w:b/>
        </w:rPr>
        <w:t>Ensuring Financial Sustainability</w:t>
      </w:r>
      <w:r w:rsidR="00303486">
        <w:rPr>
          <w:b/>
        </w:rPr>
        <w:t>”</w:t>
      </w:r>
      <w:r>
        <w:t xml:space="preserve">. SLM demonstrates this alignment </w:t>
      </w:r>
      <w:r w:rsidR="001E155F">
        <w:t xml:space="preserve">by meeting </w:t>
      </w:r>
      <w:r>
        <w:t>the University-wide Objective</w:t>
      </w:r>
      <w:r w:rsidR="00303486">
        <w:t>s</w:t>
      </w:r>
      <w:r w:rsidR="001E155F">
        <w:t>:</w:t>
      </w:r>
    </w:p>
    <w:p w14:paraId="449319C7" w14:textId="77777777" w:rsidR="001E155F" w:rsidRPr="00303486" w:rsidRDefault="00434446" w:rsidP="00DE3CCD">
      <w:pPr>
        <w:pStyle w:val="ListParagraph"/>
        <w:numPr>
          <w:ilvl w:val="0"/>
          <w:numId w:val="6"/>
        </w:numPr>
        <w:spacing w:line="240" w:lineRule="auto"/>
        <w:rPr>
          <w:i/>
        </w:rPr>
      </w:pPr>
      <w:r w:rsidRPr="00303486">
        <w:rPr>
          <w:i/>
        </w:rPr>
        <w:t>To i</w:t>
      </w:r>
      <w:r w:rsidR="001E155F" w:rsidRPr="00303486">
        <w:rPr>
          <w:i/>
        </w:rPr>
        <w:t>mplement cost containment initiatives and process efficiencies across the academy</w:t>
      </w:r>
      <w:r w:rsidRPr="00303486">
        <w:rPr>
          <w:i/>
        </w:rPr>
        <w:t>; and</w:t>
      </w:r>
    </w:p>
    <w:p w14:paraId="5A50C46D" w14:textId="77777777" w:rsidR="001E155F" w:rsidRPr="00303486" w:rsidRDefault="00434446" w:rsidP="00DE3CCD">
      <w:pPr>
        <w:pStyle w:val="ListParagraph"/>
        <w:numPr>
          <w:ilvl w:val="0"/>
          <w:numId w:val="6"/>
        </w:numPr>
        <w:spacing w:line="240" w:lineRule="auto"/>
        <w:rPr>
          <w:i/>
        </w:rPr>
      </w:pPr>
      <w:r w:rsidRPr="00303486">
        <w:rPr>
          <w:i/>
        </w:rPr>
        <w:t>To e</w:t>
      </w:r>
      <w:r w:rsidR="001E155F" w:rsidRPr="00303486">
        <w:rPr>
          <w:i/>
        </w:rPr>
        <w:t>nhance and improve learning and research resources, services, technology and facilities</w:t>
      </w:r>
      <w:r w:rsidRPr="00303486">
        <w:rPr>
          <w:i/>
        </w:rPr>
        <w:t>.</w:t>
      </w:r>
    </w:p>
    <w:p w14:paraId="678C8155" w14:textId="77777777" w:rsidR="00303486" w:rsidRDefault="008F1A5E" w:rsidP="008F1A5E">
      <w:pPr>
        <w:spacing w:line="240" w:lineRule="auto"/>
      </w:pPr>
      <w:r>
        <w:t xml:space="preserve">In addition, SLM would also support </w:t>
      </w:r>
      <w:r w:rsidR="00303486">
        <w:t xml:space="preserve">the </w:t>
      </w:r>
      <w:r w:rsidRPr="00303486">
        <w:rPr>
          <w:b/>
        </w:rPr>
        <w:t>“Ensuri</w:t>
      </w:r>
      <w:r w:rsidR="00303486" w:rsidRPr="00303486">
        <w:rPr>
          <w:b/>
        </w:rPr>
        <w:t>ng Research Prominence”</w:t>
      </w:r>
      <w:r w:rsidR="00303486">
        <w:t xml:space="preserve"> strategy, as it would:</w:t>
      </w:r>
    </w:p>
    <w:p w14:paraId="144A7DC3" w14:textId="77777777" w:rsidR="008F1A5E" w:rsidRPr="00303486" w:rsidRDefault="00303486" w:rsidP="00303486">
      <w:pPr>
        <w:pStyle w:val="ListParagraph"/>
        <w:numPr>
          <w:ilvl w:val="0"/>
          <w:numId w:val="6"/>
        </w:numPr>
        <w:spacing w:line="240" w:lineRule="auto"/>
        <w:rPr>
          <w:i/>
        </w:rPr>
      </w:pPr>
      <w:r w:rsidRPr="00303486">
        <w:rPr>
          <w:i/>
        </w:rPr>
        <w:t>I</w:t>
      </w:r>
      <w:r w:rsidR="008F1A5E" w:rsidRPr="00303486">
        <w:rPr>
          <w:i/>
        </w:rPr>
        <w:t xml:space="preserve">mprove faculty support services to enhance faculty and staff productivity, research and retention.”   </w:t>
      </w:r>
    </w:p>
    <w:p w14:paraId="08C75A31" w14:textId="77777777" w:rsidR="00FE1229" w:rsidRDefault="001E155F" w:rsidP="00DE3CCD">
      <w:pPr>
        <w:spacing w:line="240" w:lineRule="auto"/>
      </w:pPr>
      <w:r>
        <w:t>Through the coordination of software procurement for the university, SLM can leverage the economies of scale that exist with larger scale, consolidated purchases. In addition, the communication and collaboration efforts used to garner input from the faculties and schools to help make the procurement decisions will ensure that the appropriate software is chosen to support teaching, learning and research at Queen’s University.</w:t>
      </w:r>
    </w:p>
    <w:p w14:paraId="20A3395E" w14:textId="77777777" w:rsidR="00775A6D" w:rsidRDefault="00035382" w:rsidP="00DE3CCD">
      <w:pPr>
        <w:pStyle w:val="Heading1"/>
        <w:spacing w:line="240" w:lineRule="auto"/>
      </w:pPr>
      <w:bookmarkStart w:id="4" w:name="_Toc469383387"/>
      <w:r>
        <w:t>2</w:t>
      </w:r>
      <w:r w:rsidR="001E0112" w:rsidRPr="001E0112">
        <w:t xml:space="preserve"> - </w:t>
      </w:r>
      <w:r w:rsidR="00D80230" w:rsidRPr="001E0112">
        <w:t>Purpose of Review</w:t>
      </w:r>
      <w:bookmarkEnd w:id="4"/>
    </w:p>
    <w:p w14:paraId="30DC8B5D" w14:textId="3443AF32" w:rsidR="00D80230" w:rsidRPr="00775A6D" w:rsidRDefault="00D80230" w:rsidP="00DE3CCD">
      <w:pPr>
        <w:spacing w:line="240" w:lineRule="auto"/>
        <w:rPr>
          <w:rFonts w:asciiTheme="majorHAnsi" w:hAnsiTheme="majorHAnsi" w:cstheme="majorBidi"/>
          <w:color w:val="2E74B5" w:themeColor="accent1" w:themeShade="BF"/>
          <w:sz w:val="32"/>
          <w:szCs w:val="32"/>
        </w:rPr>
      </w:pPr>
      <w:r w:rsidRPr="003D1C51">
        <w:t>The Software Licensing Task Group’s mandate is to re</w:t>
      </w:r>
      <w:r w:rsidR="00F27904">
        <w:t>commend a strategic direction and</w:t>
      </w:r>
      <w:r w:rsidRPr="003D1C51">
        <w:t xml:space="preserve"> model for the</w:t>
      </w:r>
      <w:r w:rsidR="00F27904">
        <w:t xml:space="preserve"> selection,</w:t>
      </w:r>
      <w:r w:rsidRPr="003D1C51">
        <w:t xml:space="preserve"> funding, licensing</w:t>
      </w:r>
      <w:r w:rsidR="007E6994">
        <w:t>, and distribution of</w:t>
      </w:r>
      <w:r w:rsidRPr="003D1C51">
        <w:t xml:space="preserve"> </w:t>
      </w:r>
      <w:r w:rsidR="007E6994">
        <w:t>enterprise</w:t>
      </w:r>
      <w:r w:rsidRPr="003D1C51">
        <w:t xml:space="preserve"> software </w:t>
      </w:r>
      <w:r w:rsidR="00CE21B5">
        <w:t>where there exi</w:t>
      </w:r>
      <w:r w:rsidR="00F27904">
        <w:t>s</w:t>
      </w:r>
      <w:r w:rsidR="00CE21B5">
        <w:t>ts the ability to realiz</w:t>
      </w:r>
      <w:r w:rsidR="00E009DF">
        <w:t>e cost savings through</w:t>
      </w:r>
      <w:r w:rsidR="00434446">
        <w:t xml:space="preserve"> bulk purchasing</w:t>
      </w:r>
      <w:r w:rsidRPr="003D1C51">
        <w:t xml:space="preserve">.  </w:t>
      </w:r>
      <w:r w:rsidR="00E009DF">
        <w:t xml:space="preserve">With the current absence of any formal service existing on campus to facilitate SLM, a </w:t>
      </w:r>
      <w:r w:rsidR="00DE7D9F">
        <w:t xml:space="preserve">governance </w:t>
      </w:r>
      <w:r w:rsidR="0098282F">
        <w:t>body</w:t>
      </w:r>
      <w:r w:rsidR="00E009DF">
        <w:t xml:space="preserve"> needs to be </w:t>
      </w:r>
      <w:r w:rsidR="00434446">
        <w:t>put</w:t>
      </w:r>
      <w:r w:rsidR="00E009DF">
        <w:t xml:space="preserve"> in place</w:t>
      </w:r>
      <w:r w:rsidRPr="003D1C51">
        <w:t xml:space="preserve"> to</w:t>
      </w:r>
      <w:r w:rsidR="00DE7D9F">
        <w:t xml:space="preserve"> </w:t>
      </w:r>
      <w:r w:rsidR="0098282F">
        <w:t xml:space="preserve">recommend a model that will </w:t>
      </w:r>
      <w:r w:rsidR="00DE7D9F">
        <w:t>facilitate the</w:t>
      </w:r>
      <w:r w:rsidRPr="003D1C51">
        <w:t xml:space="preserve"> </w:t>
      </w:r>
      <w:r w:rsidR="00DD0460">
        <w:t>investigation, procurement</w:t>
      </w:r>
      <w:r w:rsidR="00CE21B5">
        <w:t xml:space="preserve">, and </w:t>
      </w:r>
      <w:r w:rsidR="00DE7D9F">
        <w:t>distribution of</w:t>
      </w:r>
      <w:r w:rsidRPr="003D1C51">
        <w:t xml:space="preserve"> software requ</w:t>
      </w:r>
      <w:r w:rsidR="007E6994">
        <w:t xml:space="preserve">ired for teaching, learning, </w:t>
      </w:r>
      <w:r w:rsidRPr="003D1C51">
        <w:t>research</w:t>
      </w:r>
      <w:r w:rsidR="007E6994">
        <w:t xml:space="preserve"> and administration</w:t>
      </w:r>
      <w:r w:rsidR="00E009DF">
        <w:t xml:space="preserve">. In addition, </w:t>
      </w:r>
      <w:r w:rsidR="00DE7D9F">
        <w:t>the</w:t>
      </w:r>
      <w:r w:rsidR="007E6994">
        <w:t xml:space="preserve"> model </w:t>
      </w:r>
      <w:r w:rsidR="00434446">
        <w:t xml:space="preserve">needs to </w:t>
      </w:r>
      <w:r w:rsidR="007E6994">
        <w:t xml:space="preserve">address the </w:t>
      </w:r>
      <w:r w:rsidR="00CE21B5">
        <w:t>life cycles</w:t>
      </w:r>
      <w:r w:rsidRPr="003D1C51">
        <w:t xml:space="preserve"> of </w:t>
      </w:r>
      <w:r w:rsidR="00CE21B5">
        <w:t xml:space="preserve">software </w:t>
      </w:r>
      <w:r w:rsidRPr="003D1C51">
        <w:t>license agree</w:t>
      </w:r>
      <w:r w:rsidR="00FC6BE8">
        <w:t xml:space="preserve">ments necessary to achieve </w:t>
      </w:r>
      <w:r w:rsidRPr="003D1C51">
        <w:t>continuity</w:t>
      </w:r>
      <w:r w:rsidR="00FC6BE8">
        <w:t xml:space="preserve"> in these areas</w:t>
      </w:r>
      <w:r w:rsidRPr="003D1C51">
        <w:t>.</w:t>
      </w:r>
    </w:p>
    <w:p w14:paraId="509269E9" w14:textId="7ACABEB1" w:rsidR="00D80230" w:rsidRPr="00BD25BA" w:rsidRDefault="00D80230" w:rsidP="00DE3CCD">
      <w:pPr>
        <w:spacing w:line="240" w:lineRule="auto"/>
        <w:rPr>
          <w:rFonts w:eastAsia="Times New Roman"/>
          <w:b/>
        </w:rPr>
      </w:pPr>
      <w:r w:rsidRPr="00BD25BA">
        <w:rPr>
          <w:rFonts w:eastAsia="Times New Roman"/>
          <w:b/>
        </w:rPr>
        <w:lastRenderedPageBreak/>
        <w:t>The primary questions</w:t>
      </w:r>
      <w:r w:rsidR="007E6994" w:rsidRPr="00BD25BA">
        <w:rPr>
          <w:rFonts w:eastAsia="Times New Roman"/>
          <w:b/>
        </w:rPr>
        <w:t xml:space="preserve"> and challenges</w:t>
      </w:r>
      <w:r w:rsidR="00FD1DA6" w:rsidRPr="00BD25BA">
        <w:rPr>
          <w:rFonts w:eastAsia="Times New Roman"/>
          <w:b/>
        </w:rPr>
        <w:t xml:space="preserve"> that th</w:t>
      </w:r>
      <w:r w:rsidR="007E6994" w:rsidRPr="00BD25BA">
        <w:rPr>
          <w:rFonts w:eastAsia="Times New Roman"/>
          <w:b/>
        </w:rPr>
        <w:t xml:space="preserve">e </w:t>
      </w:r>
      <w:r w:rsidR="006907CB">
        <w:rPr>
          <w:rFonts w:eastAsia="Times New Roman"/>
          <w:b/>
        </w:rPr>
        <w:t>SLTG</w:t>
      </w:r>
      <w:r w:rsidR="007E6994" w:rsidRPr="00BD25BA">
        <w:rPr>
          <w:rFonts w:eastAsia="Times New Roman"/>
          <w:b/>
        </w:rPr>
        <w:t xml:space="preserve"> </w:t>
      </w:r>
      <w:r w:rsidR="00434446">
        <w:rPr>
          <w:rFonts w:eastAsia="Times New Roman"/>
          <w:b/>
        </w:rPr>
        <w:t>was</w:t>
      </w:r>
      <w:r w:rsidR="00434446" w:rsidRPr="00BD25BA">
        <w:rPr>
          <w:rFonts w:eastAsia="Times New Roman"/>
          <w:b/>
        </w:rPr>
        <w:t xml:space="preserve"> </w:t>
      </w:r>
      <w:r w:rsidRPr="00BD25BA">
        <w:rPr>
          <w:rFonts w:eastAsia="Times New Roman"/>
          <w:b/>
        </w:rPr>
        <w:t>a</w:t>
      </w:r>
      <w:r w:rsidR="008A154A" w:rsidRPr="00BD25BA">
        <w:rPr>
          <w:rFonts w:eastAsia="Times New Roman"/>
          <w:b/>
        </w:rPr>
        <w:t xml:space="preserve">sked to address </w:t>
      </w:r>
      <w:r w:rsidR="00434446">
        <w:rPr>
          <w:rFonts w:eastAsia="Times New Roman"/>
          <w:b/>
        </w:rPr>
        <w:t>were</w:t>
      </w:r>
      <w:r w:rsidR="008A154A" w:rsidRPr="00BD25BA">
        <w:rPr>
          <w:rFonts w:eastAsia="Times New Roman"/>
          <w:b/>
        </w:rPr>
        <w:t>:</w:t>
      </w:r>
    </w:p>
    <w:p w14:paraId="1BF5F733" w14:textId="77777777" w:rsidR="00D80230" w:rsidRPr="001E0112" w:rsidRDefault="00035382" w:rsidP="00DE3CCD">
      <w:pPr>
        <w:pStyle w:val="Heading2"/>
        <w:spacing w:line="240" w:lineRule="auto"/>
      </w:pPr>
      <w:bookmarkStart w:id="5" w:name="_Toc469383388"/>
      <w:r>
        <w:t>2</w:t>
      </w:r>
      <w:r w:rsidR="001E0112">
        <w:t xml:space="preserve">.1 - </w:t>
      </w:r>
      <w:r w:rsidR="00D80230" w:rsidRPr="001E0112">
        <w:t>Categorization / Prioritization</w:t>
      </w:r>
      <w:bookmarkEnd w:id="5"/>
    </w:p>
    <w:p w14:paraId="4619140D" w14:textId="77777777" w:rsidR="00D80230" w:rsidRPr="003D1C51" w:rsidRDefault="007E6994" w:rsidP="00DE3CCD">
      <w:pPr>
        <w:spacing w:line="240" w:lineRule="auto"/>
      </w:pPr>
      <w:r>
        <w:t>There are many different s</w:t>
      </w:r>
      <w:r w:rsidR="00D80230" w:rsidRPr="003D1C51">
        <w:t>oftware product</w:t>
      </w:r>
      <w:r>
        <w:t>s used across the u</w:t>
      </w:r>
      <w:r w:rsidR="00D80230" w:rsidRPr="003D1C51">
        <w:t xml:space="preserve">niversity and many different types of license agreements.  </w:t>
      </w:r>
      <w:r w:rsidR="007E7137">
        <w:t xml:space="preserve">To be able to address the </w:t>
      </w:r>
      <w:r w:rsidR="00D80230" w:rsidRPr="003D1C51">
        <w:t>objectives, some means of class</w:t>
      </w:r>
      <w:r w:rsidR="007E7137">
        <w:t>ifying or categorizing software will be</w:t>
      </w:r>
      <w:r w:rsidR="00B62A8A">
        <w:t xml:space="preserve"> necessary to ensure transparency with any selection process.</w:t>
      </w:r>
    </w:p>
    <w:p w14:paraId="4B231D39" w14:textId="77777777" w:rsidR="00D80230" w:rsidRPr="001E0112" w:rsidRDefault="00035382" w:rsidP="00DE3CCD">
      <w:pPr>
        <w:pStyle w:val="Heading2"/>
        <w:spacing w:line="240" w:lineRule="auto"/>
      </w:pPr>
      <w:bookmarkStart w:id="6" w:name="_Toc469383389"/>
      <w:r>
        <w:t>2</w:t>
      </w:r>
      <w:r w:rsidR="001E0112">
        <w:t xml:space="preserve">.2 - </w:t>
      </w:r>
      <w:r w:rsidR="00D80230" w:rsidRPr="001E0112">
        <w:t>Funding Strategies</w:t>
      </w:r>
      <w:bookmarkEnd w:id="6"/>
    </w:p>
    <w:p w14:paraId="1D250021" w14:textId="77777777" w:rsidR="00D80230" w:rsidRPr="003D1C51" w:rsidRDefault="00D80230" w:rsidP="00DE3CCD">
      <w:pPr>
        <w:spacing w:line="240" w:lineRule="auto"/>
      </w:pPr>
      <w:r w:rsidRPr="003D1C51">
        <w:t>There are numerous challenges, and</w:t>
      </w:r>
      <w:r w:rsidR="0066430E">
        <w:t xml:space="preserve"> </w:t>
      </w:r>
      <w:r w:rsidR="00C568FB">
        <w:t>inefficiencies in the current</w:t>
      </w:r>
      <w:r w:rsidR="002B382D">
        <w:t>, adhoc</w:t>
      </w:r>
      <w:r w:rsidR="00C568FB">
        <w:t xml:space="preserve"> s</w:t>
      </w:r>
      <w:r w:rsidRPr="003D1C51">
        <w:t xml:space="preserve">oftware licensing landscape at Queen’s. To be more sustainable and effective, greater consistency is needed. While there may still be some variation, those should be justified by principles rather than driven by past practice or decisions made long ago under very different circumstances. </w:t>
      </w:r>
    </w:p>
    <w:p w14:paraId="2F82C576" w14:textId="5DD8BAFD" w:rsidR="00D80230" w:rsidRDefault="00D80230" w:rsidP="00DE3CCD">
      <w:pPr>
        <w:spacing w:line="240" w:lineRule="auto"/>
      </w:pPr>
      <w:r w:rsidRPr="003D1C51">
        <w:t>At the heart of this topic is whether some or al</w:t>
      </w:r>
      <w:r w:rsidR="007E6994">
        <w:t>l of the s</w:t>
      </w:r>
      <w:r w:rsidRPr="003D1C51">
        <w:t>oftware should be funded centrally</w:t>
      </w:r>
      <w:r w:rsidR="00C929F9">
        <w:t xml:space="preserve"> (from the University Fund</w:t>
      </w:r>
      <w:proofErr w:type="gramStart"/>
      <w:r w:rsidR="00C929F9">
        <w:t xml:space="preserve">) </w:t>
      </w:r>
      <w:r w:rsidRPr="003D1C51">
        <w:t>,</w:t>
      </w:r>
      <w:proofErr w:type="gramEnd"/>
      <w:r w:rsidRPr="003D1C51">
        <w:t xml:space="preserve"> in a manner consistent with the </w:t>
      </w:r>
      <w:r w:rsidR="0064443B" w:rsidRPr="0064443B">
        <w:t xml:space="preserve">Queen’s Activity Based </w:t>
      </w:r>
      <w:r w:rsidRPr="003D1C51">
        <w:t>Budget Model</w:t>
      </w:r>
      <w:r w:rsidR="0064443B">
        <w:t xml:space="preserve"> (Appendix E)</w:t>
      </w:r>
      <w:r w:rsidRPr="003D1C51">
        <w:t xml:space="preserve">  There can be broad based benefit for all faculty and stud</w:t>
      </w:r>
      <w:r w:rsidR="00C568FB">
        <w:t>ents having access to selected s</w:t>
      </w:r>
      <w:r w:rsidRPr="003D1C51">
        <w:t>oftware, even though it may not be used widely in their discipline or department.</w:t>
      </w:r>
    </w:p>
    <w:p w14:paraId="4A5E3581" w14:textId="77777777" w:rsidR="00D80230" w:rsidRPr="001E0112" w:rsidRDefault="00035382" w:rsidP="00DE3CCD">
      <w:pPr>
        <w:pStyle w:val="Heading2"/>
        <w:spacing w:line="240" w:lineRule="auto"/>
      </w:pPr>
      <w:bookmarkStart w:id="7" w:name="_Toc469383390"/>
      <w:r>
        <w:t>2</w:t>
      </w:r>
      <w:r w:rsidR="001E0112" w:rsidRPr="001E0112">
        <w:t xml:space="preserve">.3 - </w:t>
      </w:r>
      <w:r w:rsidR="00D80230" w:rsidRPr="001E0112">
        <w:t>Distribution or Provisioning of Access</w:t>
      </w:r>
      <w:bookmarkEnd w:id="7"/>
    </w:p>
    <w:p w14:paraId="1B37806A" w14:textId="21648D57" w:rsidR="00D80230" w:rsidRPr="003D1C51" w:rsidRDefault="00D80230" w:rsidP="00DE3CCD">
      <w:pPr>
        <w:spacing w:line="240" w:lineRule="auto"/>
      </w:pPr>
      <w:r w:rsidRPr="003D1C51">
        <w:t>The Task Group</w:t>
      </w:r>
      <w:r w:rsidR="007E7137">
        <w:t xml:space="preserve"> was</w:t>
      </w:r>
      <w:r w:rsidRPr="003D1C51">
        <w:t xml:space="preserve"> asked to provide recommendations on prefe</w:t>
      </w:r>
      <w:r w:rsidR="005A3EC4">
        <w:t>rred mechanisms for making the s</w:t>
      </w:r>
      <w:r w:rsidRPr="003D1C51">
        <w:t xml:space="preserve">oftware available to those who need it.  </w:t>
      </w:r>
      <w:r w:rsidR="005A3EC4">
        <w:t>Previously,</w:t>
      </w:r>
      <w:r w:rsidRPr="003D1C51">
        <w:t xml:space="preserve"> equipment </w:t>
      </w:r>
      <w:r w:rsidR="005A3EC4">
        <w:t xml:space="preserve">was available </w:t>
      </w:r>
      <w:r w:rsidRPr="003D1C51">
        <w:t>to produce CD and DVD copies</w:t>
      </w:r>
      <w:r w:rsidR="005A3EC4">
        <w:t xml:space="preserve"> for distribution, and in some cases </w:t>
      </w:r>
      <w:r w:rsidRPr="005A3EC4">
        <w:rPr>
          <w:b/>
        </w:rPr>
        <w:t>departments</w:t>
      </w:r>
      <w:r w:rsidRPr="003D1C51">
        <w:t xml:space="preserve"> </w:t>
      </w:r>
      <w:r w:rsidR="005A3EC4">
        <w:t xml:space="preserve">were provided </w:t>
      </w:r>
      <w:r w:rsidRPr="003D1C51">
        <w:t xml:space="preserve">access to shared storage folders for download over the network. </w:t>
      </w:r>
      <w:r w:rsidR="005A3EC4">
        <w:t xml:space="preserve">These options no longer exist </w:t>
      </w:r>
      <w:r w:rsidR="005A52FE">
        <w:t>because of</w:t>
      </w:r>
      <w:r w:rsidR="005A3EC4">
        <w:t xml:space="preserve"> re-distribution of the resources that had assisted with provisioning software. In the cases where</w:t>
      </w:r>
      <w:r w:rsidRPr="003D1C51">
        <w:t xml:space="preserve"> license agreements prohibit installation of </w:t>
      </w:r>
      <w:r w:rsidR="005A3EC4">
        <w:t>s</w:t>
      </w:r>
      <w:r w:rsidRPr="003D1C51">
        <w:t xml:space="preserve">oftware on </w:t>
      </w:r>
      <w:r w:rsidRPr="005A3EC4">
        <w:rPr>
          <w:b/>
        </w:rPr>
        <w:t>student-owned computers</w:t>
      </w:r>
      <w:r w:rsidRPr="003D1C51">
        <w:t xml:space="preserve">, </w:t>
      </w:r>
      <w:r w:rsidR="005A3EC4">
        <w:t>a method will be needed</w:t>
      </w:r>
      <w:r w:rsidRPr="003D1C51">
        <w:t xml:space="preserve"> to provisio</w:t>
      </w:r>
      <w:r w:rsidR="005A3EC4">
        <w:t>n students with access to that s</w:t>
      </w:r>
      <w:r w:rsidRPr="003D1C51">
        <w:t xml:space="preserve">oftware, </w:t>
      </w:r>
      <w:r w:rsidR="005A52FE" w:rsidRPr="003D1C51">
        <w:t>to</w:t>
      </w:r>
      <w:r w:rsidRPr="003D1C51">
        <w:t xml:space="preserve"> effectively support their learning and the curricular needs of the department or instructor.</w:t>
      </w:r>
    </w:p>
    <w:p w14:paraId="3B462139" w14:textId="77777777" w:rsidR="00D80230" w:rsidRPr="003D1C51" w:rsidRDefault="00035382" w:rsidP="00DE3CCD">
      <w:pPr>
        <w:pStyle w:val="Heading2"/>
        <w:spacing w:line="240" w:lineRule="auto"/>
        <w:rPr>
          <w:rFonts w:eastAsia="Times New Roman"/>
        </w:rPr>
      </w:pPr>
      <w:bookmarkStart w:id="8" w:name="_Toc469383391"/>
      <w:r>
        <w:rPr>
          <w:rFonts w:eastAsia="Times New Roman"/>
        </w:rPr>
        <w:t>2</w:t>
      </w:r>
      <w:r w:rsidR="001E0112">
        <w:rPr>
          <w:rFonts w:eastAsia="Times New Roman"/>
        </w:rPr>
        <w:t xml:space="preserve">.4 - </w:t>
      </w:r>
      <w:r w:rsidR="00D80230" w:rsidRPr="003D1C51">
        <w:rPr>
          <w:rFonts w:eastAsia="Times New Roman"/>
        </w:rPr>
        <w:t>Relev</w:t>
      </w:r>
      <w:r w:rsidR="00CE21B5">
        <w:rPr>
          <w:rFonts w:eastAsia="Times New Roman"/>
        </w:rPr>
        <w:t>ance and Alignment with University</w:t>
      </w:r>
      <w:r w:rsidR="00D80230" w:rsidRPr="003D1C51">
        <w:rPr>
          <w:rFonts w:eastAsia="Times New Roman"/>
        </w:rPr>
        <w:t xml:space="preserve"> Needs</w:t>
      </w:r>
      <w:bookmarkEnd w:id="8"/>
    </w:p>
    <w:p w14:paraId="0C7562D3" w14:textId="77777777" w:rsidR="00AF2D74" w:rsidRPr="003D1C51" w:rsidRDefault="00AF2D74" w:rsidP="00DE3CCD">
      <w:pPr>
        <w:spacing w:line="240" w:lineRule="auto"/>
      </w:pPr>
      <w:r>
        <w:t xml:space="preserve">In addition to </w:t>
      </w:r>
      <w:r w:rsidR="00A234D3">
        <w:t>addressing</w:t>
      </w:r>
      <w:r>
        <w:t xml:space="preserve"> the “what” and the “how” of software licensing</w:t>
      </w:r>
      <w:r w:rsidR="00A234D3">
        <w:t xml:space="preserve">, governance must also </w:t>
      </w:r>
      <w:r>
        <w:t xml:space="preserve">address the “why”. </w:t>
      </w:r>
      <w:r w:rsidR="00A234D3">
        <w:t xml:space="preserve">The selection of software titles that align with the </w:t>
      </w:r>
      <w:r w:rsidR="005B1688">
        <w:t xml:space="preserve">evolving </w:t>
      </w:r>
      <w:r w:rsidR="00A234D3">
        <w:t>needs of the university will require the input of many stakehol</w:t>
      </w:r>
      <w:r w:rsidR="005B1688">
        <w:t xml:space="preserve">ders. The group will look at the engagement of </w:t>
      </w:r>
      <w:r w:rsidR="00434446">
        <w:t xml:space="preserve">a </w:t>
      </w:r>
      <w:r w:rsidR="00B62A8A">
        <w:t xml:space="preserve">cross-section of the university </w:t>
      </w:r>
      <w:r w:rsidR="005B1688">
        <w:t xml:space="preserve">(much like the SLTG) </w:t>
      </w:r>
      <w:r w:rsidR="00B62A8A">
        <w:t>to d</w:t>
      </w:r>
      <w:r w:rsidR="00B62A8A" w:rsidRPr="003D1C51">
        <w:t xml:space="preserve">etermine how decisions </w:t>
      </w:r>
      <w:r w:rsidR="00B62A8A">
        <w:t>are</w:t>
      </w:r>
      <w:r w:rsidR="00B62A8A" w:rsidRPr="003D1C51">
        <w:t xml:space="preserve"> made to add a new product to the collection, drop a product of diminished intere</w:t>
      </w:r>
      <w:r w:rsidR="00B62A8A">
        <w:t>st to stakeholders, or address u</w:t>
      </w:r>
      <w:r w:rsidR="00B62A8A" w:rsidRPr="003D1C51">
        <w:t>niversity goals for common learning platforms.</w:t>
      </w:r>
    </w:p>
    <w:p w14:paraId="0E5CE756" w14:textId="77777777" w:rsidR="00D80230" w:rsidRPr="001E0112" w:rsidRDefault="00035382" w:rsidP="00DE3CCD">
      <w:pPr>
        <w:pStyle w:val="Heading2"/>
        <w:spacing w:line="240" w:lineRule="auto"/>
      </w:pPr>
      <w:bookmarkStart w:id="9" w:name="_Toc469383392"/>
      <w:r>
        <w:t>2</w:t>
      </w:r>
      <w:r w:rsidR="001E0112">
        <w:t xml:space="preserve">.5 - </w:t>
      </w:r>
      <w:r w:rsidR="00D80230" w:rsidRPr="001E0112">
        <w:t>Compliance with and Preservation of License Agreements</w:t>
      </w:r>
      <w:bookmarkEnd w:id="9"/>
    </w:p>
    <w:p w14:paraId="1D2387F0" w14:textId="2AAEB914" w:rsidR="005D09A2" w:rsidRPr="00E04768" w:rsidRDefault="00D80230" w:rsidP="00DE3CCD">
      <w:pPr>
        <w:spacing w:line="240" w:lineRule="auto"/>
      </w:pPr>
      <w:r w:rsidRPr="003D1C51">
        <w:t>How does the University ensure that those deploying and using the software understand and respect the terms of use or license conditions for the Software, which can vary from one product to another? While the other recommendations are expected to help in this regard, it will be useful to have recommendations for ensuring stakeholders are aware of</w:t>
      </w:r>
      <w:r w:rsidR="00036AE3">
        <w:t>,</w:t>
      </w:r>
      <w:r w:rsidRPr="003D1C51">
        <w:t xml:space="preserve"> and understand their responsibilities.</w:t>
      </w:r>
      <w:r w:rsidR="00C568FB" w:rsidRPr="00C568FB">
        <w:t xml:space="preserve"> </w:t>
      </w:r>
    </w:p>
    <w:p w14:paraId="7722D6C7" w14:textId="77777777" w:rsidR="00D80230" w:rsidRPr="003D1C51" w:rsidRDefault="00035382" w:rsidP="00DE3CCD">
      <w:pPr>
        <w:pStyle w:val="Heading1"/>
        <w:spacing w:line="240" w:lineRule="auto"/>
        <w:rPr>
          <w:rFonts w:eastAsia="Times New Roman"/>
        </w:rPr>
      </w:pPr>
      <w:bookmarkStart w:id="10" w:name="_Toc469383393"/>
      <w:r>
        <w:rPr>
          <w:rFonts w:eastAsia="Times New Roman"/>
        </w:rPr>
        <w:t>3</w:t>
      </w:r>
      <w:r w:rsidR="001E0112">
        <w:rPr>
          <w:rFonts w:eastAsia="Times New Roman"/>
        </w:rPr>
        <w:t xml:space="preserve"> - </w:t>
      </w:r>
      <w:r w:rsidR="00D80230" w:rsidRPr="003D1C51">
        <w:rPr>
          <w:rFonts w:eastAsia="Times New Roman"/>
        </w:rPr>
        <w:t>Scope</w:t>
      </w:r>
      <w:bookmarkEnd w:id="10"/>
    </w:p>
    <w:p w14:paraId="0E969345" w14:textId="77777777" w:rsidR="00CE21B5" w:rsidRPr="00BD25BA" w:rsidRDefault="00D80230" w:rsidP="00DE3CCD">
      <w:pPr>
        <w:spacing w:line="240" w:lineRule="auto"/>
        <w:rPr>
          <w:b/>
        </w:rPr>
      </w:pPr>
      <w:r w:rsidRPr="00BD25BA">
        <w:rPr>
          <w:b/>
        </w:rPr>
        <w:t xml:space="preserve">The </w:t>
      </w:r>
      <w:r w:rsidR="00D81569" w:rsidRPr="00BD25BA">
        <w:rPr>
          <w:b/>
        </w:rPr>
        <w:t>scope pro</w:t>
      </w:r>
      <w:r w:rsidR="005D09A2" w:rsidRPr="00BD25BA">
        <w:rPr>
          <w:b/>
        </w:rPr>
        <w:t>vided to the Task Group</w:t>
      </w:r>
      <w:r w:rsidR="00434446">
        <w:rPr>
          <w:b/>
        </w:rPr>
        <w:t xml:space="preserve"> was</w:t>
      </w:r>
      <w:r w:rsidR="00D81569" w:rsidRPr="00BD25BA">
        <w:rPr>
          <w:b/>
        </w:rPr>
        <w:t>:</w:t>
      </w:r>
    </w:p>
    <w:p w14:paraId="419C8506" w14:textId="77777777" w:rsidR="00D80230" w:rsidRPr="00E04768" w:rsidRDefault="00D81569" w:rsidP="00DE3CCD">
      <w:pPr>
        <w:spacing w:line="240" w:lineRule="auto"/>
      </w:pPr>
      <w:r>
        <w:t>To recommend</w:t>
      </w:r>
      <w:r w:rsidR="00D80230" w:rsidRPr="003D1C51">
        <w:t xml:space="preserve"> policies, procedures and funding approaches </w:t>
      </w:r>
      <w:r w:rsidR="00434446">
        <w:t>that</w:t>
      </w:r>
      <w:r w:rsidR="00434446" w:rsidRPr="003D1C51">
        <w:t xml:space="preserve"> </w:t>
      </w:r>
      <w:r w:rsidR="001D59C1">
        <w:t>will achieve</w:t>
      </w:r>
      <w:r w:rsidR="00D80230" w:rsidRPr="003D1C51">
        <w:t xml:space="preserve"> </w:t>
      </w:r>
      <w:r w:rsidR="005D09A2">
        <w:t>lower costs and improve</w:t>
      </w:r>
      <w:r>
        <w:t xml:space="preserve"> the </w:t>
      </w:r>
      <w:r w:rsidR="00CE21B5">
        <w:t xml:space="preserve">current </w:t>
      </w:r>
      <w:r>
        <w:t>s</w:t>
      </w:r>
      <w:r w:rsidR="00D80230" w:rsidRPr="003D1C51">
        <w:t>oftware</w:t>
      </w:r>
      <w:r w:rsidR="005D09A2">
        <w:t xml:space="preserve"> licensing practices at Queen’s University.</w:t>
      </w:r>
      <w:r w:rsidR="00E04768">
        <w:t xml:space="preserve"> </w:t>
      </w:r>
      <w:r w:rsidR="005D09A2">
        <w:t>The</w:t>
      </w:r>
      <w:r w:rsidR="00D80230" w:rsidRPr="003D1C51">
        <w:t xml:space="preserve"> Task Group is n</w:t>
      </w:r>
      <w:r>
        <w:t>ot being asked to review which s</w:t>
      </w:r>
      <w:r w:rsidR="00D80230" w:rsidRPr="003D1C51">
        <w:t>of</w:t>
      </w:r>
      <w:r>
        <w:t>tware is covered under current u</w:t>
      </w:r>
      <w:r w:rsidR="00D80230" w:rsidRPr="003D1C51">
        <w:t>niversity licens</w:t>
      </w:r>
      <w:r>
        <w:t>ing arrangements. However, the g</w:t>
      </w:r>
      <w:r w:rsidR="00D80230" w:rsidRPr="003D1C51">
        <w:t xml:space="preserve">roup </w:t>
      </w:r>
      <w:r w:rsidR="00434446">
        <w:t>will be</w:t>
      </w:r>
      <w:r w:rsidR="00D80230" w:rsidRPr="003D1C51">
        <w:t xml:space="preserve"> asked to recommend processes for such regular review</w:t>
      </w:r>
      <w:r w:rsidR="005D09A2">
        <w:t>s</w:t>
      </w:r>
      <w:r w:rsidR="00D80230" w:rsidRPr="003D1C51">
        <w:t xml:space="preserve"> and decision-making over time. </w:t>
      </w:r>
    </w:p>
    <w:p w14:paraId="46B5DD95" w14:textId="77777777" w:rsidR="001E0112" w:rsidRPr="00FE1229" w:rsidRDefault="00035382" w:rsidP="00DE3CCD">
      <w:pPr>
        <w:pStyle w:val="Heading1"/>
        <w:spacing w:line="240" w:lineRule="auto"/>
      </w:pPr>
      <w:bookmarkStart w:id="11" w:name="_Toc469383394"/>
      <w:r>
        <w:lastRenderedPageBreak/>
        <w:t>4</w:t>
      </w:r>
      <w:r w:rsidR="001E0112">
        <w:t xml:space="preserve"> - </w:t>
      </w:r>
      <w:r w:rsidR="00D80230" w:rsidRPr="001E0112">
        <w:t>Findings</w:t>
      </w:r>
      <w:bookmarkEnd w:id="11"/>
    </w:p>
    <w:p w14:paraId="4A028009" w14:textId="77777777" w:rsidR="005B18C2" w:rsidRDefault="00035382" w:rsidP="00DE3CCD">
      <w:pPr>
        <w:pStyle w:val="Heading2"/>
        <w:spacing w:line="240" w:lineRule="auto"/>
      </w:pPr>
      <w:bookmarkStart w:id="12" w:name="_Toc469383395"/>
      <w:r>
        <w:t>4</w:t>
      </w:r>
      <w:r w:rsidR="001E0112">
        <w:t xml:space="preserve">.1 - </w:t>
      </w:r>
      <w:r w:rsidR="00D80230" w:rsidRPr="001E0112">
        <w:t>Funding/Financial Landscape</w:t>
      </w:r>
      <w:bookmarkEnd w:id="12"/>
    </w:p>
    <w:p w14:paraId="5CF6AA1E" w14:textId="195D56AC" w:rsidR="005B18C2" w:rsidRDefault="005B18C2" w:rsidP="00DE3CCD">
      <w:pPr>
        <w:spacing w:line="240" w:lineRule="auto"/>
      </w:pPr>
      <w:r>
        <w:t>Through discussion wi</w:t>
      </w:r>
      <w:r w:rsidR="009C119A">
        <w:t>th the members of the SLTG (Appendix A), the current landscape of software licensing at Queen’s University presents m</w:t>
      </w:r>
      <w:r w:rsidR="005A3EC4">
        <w:t>any challenges</w:t>
      </w:r>
      <w:r w:rsidR="00D155FB">
        <w:t>:</w:t>
      </w:r>
      <w:r w:rsidR="00D155FB" w:rsidDel="00D155FB">
        <w:t xml:space="preserve"> </w:t>
      </w:r>
    </w:p>
    <w:p w14:paraId="72A536FA" w14:textId="77777777" w:rsidR="00B27437" w:rsidRDefault="00B27437" w:rsidP="00DE3CCD">
      <w:pPr>
        <w:spacing w:line="240" w:lineRule="auto"/>
      </w:pPr>
      <w:r>
        <w:t>Risk</w:t>
      </w:r>
      <w:r w:rsidR="00CE4118">
        <w:t>s</w:t>
      </w:r>
    </w:p>
    <w:p w14:paraId="473B02E4" w14:textId="77777777" w:rsidR="00B27437" w:rsidRDefault="00B27437" w:rsidP="00B27437">
      <w:pPr>
        <w:pStyle w:val="ListParagraph"/>
        <w:numPr>
          <w:ilvl w:val="0"/>
          <w:numId w:val="20"/>
        </w:numPr>
        <w:spacing w:line="240" w:lineRule="auto"/>
      </w:pPr>
      <w:r w:rsidRPr="003D1C51">
        <w:t>Some license agreements and pricing may be “grandfathered” for Queen’s. If allowed to lapse or expir</w:t>
      </w:r>
      <w:r w:rsidR="0066430E">
        <w:t>e, they may not be renewable</w:t>
      </w:r>
      <w:r w:rsidR="005A3EC4">
        <w:t xml:space="preserve"> at their current pricing level</w:t>
      </w:r>
      <w:r w:rsidRPr="003D1C51">
        <w:t>.</w:t>
      </w:r>
    </w:p>
    <w:p w14:paraId="3DEAB839" w14:textId="2FCF5133" w:rsidR="00B27437" w:rsidRDefault="0098282F" w:rsidP="00B27437">
      <w:pPr>
        <w:pStyle w:val="ListParagraph"/>
        <w:numPr>
          <w:ilvl w:val="0"/>
          <w:numId w:val="20"/>
        </w:numPr>
        <w:spacing w:line="240" w:lineRule="auto"/>
      </w:pPr>
      <w:r>
        <w:t>The current “</w:t>
      </w:r>
      <w:r w:rsidR="00B27437" w:rsidRPr="003D1C51">
        <w:t>rec</w:t>
      </w:r>
      <w:r>
        <w:t xml:space="preserve">overy </w:t>
      </w:r>
      <w:r w:rsidR="00B27437">
        <w:t>based</w:t>
      </w:r>
      <w:r>
        <w:t xml:space="preserve"> on usage”</w:t>
      </w:r>
      <w:r w:rsidR="00B27437">
        <w:t xml:space="preserve"> funding model for s</w:t>
      </w:r>
      <w:r w:rsidR="00B27437" w:rsidRPr="003D1C51">
        <w:t>oftware is unsustainable without a campus entity to handle the volume of transactions.</w:t>
      </w:r>
    </w:p>
    <w:p w14:paraId="4ED5ED8A" w14:textId="77777777" w:rsidR="00601377" w:rsidRPr="003D1C51" w:rsidRDefault="00601377" w:rsidP="00601377">
      <w:pPr>
        <w:pStyle w:val="ListParagraph"/>
        <w:numPr>
          <w:ilvl w:val="0"/>
          <w:numId w:val="20"/>
        </w:numPr>
        <w:spacing w:line="240" w:lineRule="auto"/>
      </w:pPr>
      <w:r w:rsidRPr="003D1C51">
        <w:t xml:space="preserve">The funding model is also inconsistent across products, with some being fully funded, some subsidized, and some fully cost-recovered. </w:t>
      </w:r>
    </w:p>
    <w:p w14:paraId="00069B95" w14:textId="03448D4A" w:rsidR="00601377" w:rsidRPr="003D1C51" w:rsidRDefault="00601377" w:rsidP="00601377">
      <w:pPr>
        <w:pStyle w:val="ListParagraph"/>
        <w:numPr>
          <w:ilvl w:val="0"/>
          <w:numId w:val="20"/>
        </w:numPr>
        <w:spacing w:line="240" w:lineRule="auto"/>
      </w:pPr>
      <w:r w:rsidRPr="003D1C51">
        <w:t xml:space="preserve">Some cost recovery license arrangements are vulnerable to unit-level changes in </w:t>
      </w:r>
      <w:r w:rsidR="000A1AA7">
        <w:t>participation</w:t>
      </w:r>
      <w:r w:rsidRPr="003D1C51">
        <w:t xml:space="preserve">. If Department A drops out, their share of the cost </w:t>
      </w:r>
      <w:r w:rsidR="0098282F" w:rsidRPr="003D1C51">
        <w:t>must</w:t>
      </w:r>
      <w:r w:rsidRPr="003D1C51">
        <w:t xml:space="preserve"> be reallocated among the other participants.  The entire arrangement may collapse if participants see their share of the cost exceed </w:t>
      </w:r>
      <w:r w:rsidR="00CE4118">
        <w:t>a certain</w:t>
      </w:r>
      <w:r w:rsidR="00CE4118" w:rsidRPr="003D1C51">
        <w:t xml:space="preserve"> </w:t>
      </w:r>
      <w:r w:rsidRPr="003D1C51">
        <w:t>threshold.</w:t>
      </w:r>
    </w:p>
    <w:p w14:paraId="32D9FD41" w14:textId="4DA304D2" w:rsidR="00B27437" w:rsidRDefault="00601377" w:rsidP="00DE3CCD">
      <w:pPr>
        <w:pStyle w:val="ListParagraph"/>
        <w:numPr>
          <w:ilvl w:val="0"/>
          <w:numId w:val="20"/>
        </w:numPr>
        <w:spacing w:line="240" w:lineRule="auto"/>
      </w:pPr>
      <w:r>
        <w:t>Licensing agreements are not properly adhered to</w:t>
      </w:r>
      <w:r w:rsidR="002D5043">
        <w:t>,</w:t>
      </w:r>
      <w:r>
        <w:t xml:space="preserve"> resultin</w:t>
      </w:r>
      <w:r w:rsidR="001D59C1">
        <w:t>g in piracy and other compliance</w:t>
      </w:r>
      <w:r>
        <w:t xml:space="preserve"> issues that may put the university at risk. </w:t>
      </w:r>
    </w:p>
    <w:p w14:paraId="6FD56784" w14:textId="77777777" w:rsidR="00B27437" w:rsidRDefault="00B27437" w:rsidP="00DE3CCD">
      <w:pPr>
        <w:spacing w:line="240" w:lineRule="auto"/>
      </w:pPr>
      <w:r>
        <w:t>Cost</w:t>
      </w:r>
      <w:r w:rsidR="00893250">
        <w:t xml:space="preserve"> Savings</w:t>
      </w:r>
    </w:p>
    <w:p w14:paraId="7E6DD550" w14:textId="142ABCED" w:rsidR="00B27437" w:rsidRDefault="00B27437" w:rsidP="00DD0460">
      <w:pPr>
        <w:pStyle w:val="ListParagraph"/>
        <w:numPr>
          <w:ilvl w:val="0"/>
          <w:numId w:val="20"/>
        </w:numPr>
        <w:spacing w:line="240" w:lineRule="auto"/>
      </w:pPr>
      <w:r w:rsidRPr="003D1C51">
        <w:t>The savings</w:t>
      </w:r>
      <w:r>
        <w:t xml:space="preserve"> </w:t>
      </w:r>
      <w:r w:rsidRPr="003D1C51">
        <w:t>realized through current or potential site license arrangements can be very significant.</w:t>
      </w:r>
      <w:r w:rsidR="0066430E">
        <w:t xml:space="preserve"> </w:t>
      </w:r>
      <w:r w:rsidR="00601377" w:rsidRPr="003D1C51">
        <w:t>In at least one case</w:t>
      </w:r>
      <w:r w:rsidR="000A1AA7">
        <w:t xml:space="preserve"> at present</w:t>
      </w:r>
      <w:r w:rsidR="00601377" w:rsidRPr="003D1C51">
        <w:t xml:space="preserve">, the total spend at Queen’s for multiple instances of </w:t>
      </w:r>
      <w:r w:rsidR="000A1AA7">
        <w:t xml:space="preserve">departmental </w:t>
      </w:r>
      <w:r w:rsidR="00601377" w:rsidRPr="003D1C51">
        <w:t>licenses for the same software</w:t>
      </w:r>
      <w:r w:rsidR="000A1AA7">
        <w:t xml:space="preserve"> is significantly</w:t>
      </w:r>
      <w:r w:rsidR="00601377" w:rsidRPr="003D1C51">
        <w:t xml:space="preserve"> more than the cost </w:t>
      </w:r>
      <w:r w:rsidR="000A1AA7">
        <w:t>if a</w:t>
      </w:r>
      <w:r w:rsidR="00601377" w:rsidRPr="003D1C51">
        <w:t xml:space="preserve"> campus-wide license</w:t>
      </w:r>
      <w:r w:rsidR="000A1AA7">
        <w:t xml:space="preserve"> were in place</w:t>
      </w:r>
      <w:r w:rsidR="00601377" w:rsidRPr="003D1C51">
        <w:t>.</w:t>
      </w:r>
    </w:p>
    <w:p w14:paraId="569D636F" w14:textId="77777777" w:rsidR="00B27437" w:rsidRDefault="00B27437" w:rsidP="00DE3CCD">
      <w:pPr>
        <w:spacing w:line="240" w:lineRule="auto"/>
      </w:pPr>
      <w:r>
        <w:t>Compliance</w:t>
      </w:r>
      <w:r w:rsidR="00A5487C">
        <w:t xml:space="preserve"> Issues</w:t>
      </w:r>
    </w:p>
    <w:p w14:paraId="6EFC7F73" w14:textId="6F5352C7" w:rsidR="0066430E" w:rsidRDefault="000A1AA7" w:rsidP="0066430E">
      <w:pPr>
        <w:pStyle w:val="ListParagraph"/>
        <w:numPr>
          <w:ilvl w:val="0"/>
          <w:numId w:val="20"/>
        </w:numPr>
        <w:spacing w:line="240" w:lineRule="auto"/>
      </w:pPr>
      <w:r>
        <w:t>A clear understanding of software compliance requirements may not exist</w:t>
      </w:r>
      <w:r w:rsidR="0066430E">
        <w:t xml:space="preserve">. </w:t>
      </w:r>
      <w:r w:rsidR="00054E0E">
        <w:t>It involves k</w:t>
      </w:r>
      <w:r w:rsidR="0066430E">
        <w:t>nowing w</w:t>
      </w:r>
      <w:r w:rsidR="00054E0E">
        <w:t>hat software you have installed;</w:t>
      </w:r>
      <w:r w:rsidR="0066430E">
        <w:t xml:space="preserve"> </w:t>
      </w:r>
      <w:r w:rsidR="00054E0E">
        <w:t>what licenses you've purchased;</w:t>
      </w:r>
      <w:r w:rsidR="0066430E">
        <w:t xml:space="preserve"> that your installations don'</w:t>
      </w:r>
      <w:r w:rsidR="00054E0E">
        <w:t>t exceed your license purchases;</w:t>
      </w:r>
      <w:r w:rsidR="0066430E">
        <w:t xml:space="preserve"> what software is </w:t>
      </w:r>
      <w:r w:rsidR="00054E0E">
        <w:t>being used; and</w:t>
      </w:r>
      <w:r w:rsidR="0066430E">
        <w:t xml:space="preserve"> the details of your software lice</w:t>
      </w:r>
      <w:r w:rsidR="00054E0E">
        <w:t>nse usage rights and restrictions.</w:t>
      </w:r>
    </w:p>
    <w:p w14:paraId="67B24EB8" w14:textId="77777777" w:rsidR="00601377" w:rsidRDefault="00601377" w:rsidP="00601377">
      <w:pPr>
        <w:pStyle w:val="ListParagraph"/>
        <w:numPr>
          <w:ilvl w:val="0"/>
          <w:numId w:val="20"/>
        </w:numPr>
        <w:spacing w:line="240" w:lineRule="auto"/>
      </w:pPr>
      <w:r>
        <w:t>Purchases made by researchers may also be used by administrati</w:t>
      </w:r>
      <w:r w:rsidR="00893250">
        <w:t>ve</w:t>
      </w:r>
      <w:r>
        <w:t xml:space="preserve"> staff and teaching facul</w:t>
      </w:r>
      <w:r w:rsidR="00054E0E">
        <w:t>ty, which may be in contradiction to the terms of the license</w:t>
      </w:r>
      <w:r>
        <w:t>.</w:t>
      </w:r>
    </w:p>
    <w:p w14:paraId="3E82D112" w14:textId="77777777" w:rsidR="00B27437" w:rsidRDefault="00601377" w:rsidP="00DE3CCD">
      <w:pPr>
        <w:pStyle w:val="ListParagraph"/>
        <w:numPr>
          <w:ilvl w:val="0"/>
          <w:numId w:val="20"/>
        </w:numPr>
        <w:spacing w:line="240" w:lineRule="auto"/>
      </w:pPr>
      <w:r w:rsidRPr="003D1C51">
        <w:t>Some license agreements do</w:t>
      </w:r>
      <w:r>
        <w:t xml:space="preserve"> not extend to students – i.e. s</w:t>
      </w:r>
      <w:r w:rsidRPr="003D1C51">
        <w:t>of</w:t>
      </w:r>
      <w:r>
        <w:t>tware can be installed only on u</w:t>
      </w:r>
      <w:r w:rsidRPr="003D1C51">
        <w:t>niversity-owned computers.</w:t>
      </w:r>
    </w:p>
    <w:p w14:paraId="3B9B6C6B" w14:textId="77777777" w:rsidR="00B27437" w:rsidRDefault="00B27437" w:rsidP="00DE3CCD">
      <w:pPr>
        <w:spacing w:line="240" w:lineRule="auto"/>
      </w:pPr>
      <w:r>
        <w:t>Efficiency</w:t>
      </w:r>
      <w:r w:rsidR="00A5487C">
        <w:t xml:space="preserve"> Issues</w:t>
      </w:r>
    </w:p>
    <w:p w14:paraId="549B0648" w14:textId="77777777" w:rsidR="00601377" w:rsidRDefault="00601377" w:rsidP="00601377">
      <w:pPr>
        <w:pStyle w:val="ListParagraph"/>
        <w:numPr>
          <w:ilvl w:val="0"/>
          <w:numId w:val="20"/>
        </w:numPr>
        <w:spacing w:line="240" w:lineRule="auto"/>
      </w:pPr>
      <w:r>
        <w:t>Numerous departments manage their own software licensing and</w:t>
      </w:r>
      <w:r w:rsidR="00893250">
        <w:t>,</w:t>
      </w:r>
      <w:r>
        <w:t xml:space="preserve"> therefore</w:t>
      </w:r>
      <w:r w:rsidR="00893250">
        <w:t>,</w:t>
      </w:r>
      <w:r>
        <w:t xml:space="preserve"> require resources and staffing to manage billing, vendor management and distribution. These local licensing practices result in duplication of effort across the university.</w:t>
      </w:r>
    </w:p>
    <w:p w14:paraId="5A4CE7F3" w14:textId="77777777" w:rsidR="00C568FB" w:rsidRPr="00601377" w:rsidRDefault="00EB2D55" w:rsidP="00CB641A">
      <w:pPr>
        <w:pStyle w:val="ListParagraph"/>
        <w:numPr>
          <w:ilvl w:val="0"/>
          <w:numId w:val="20"/>
        </w:numPr>
        <w:spacing w:line="240" w:lineRule="auto"/>
      </w:pPr>
      <w:r>
        <w:t xml:space="preserve">Some </w:t>
      </w:r>
      <w:r w:rsidR="00D80230" w:rsidRPr="003D1C51">
        <w:t>d</w:t>
      </w:r>
      <w:r w:rsidR="00A5487C">
        <w:t>epartments pay the license fees</w:t>
      </w:r>
      <w:r w:rsidR="00D80230" w:rsidRPr="003D1C51">
        <w:t xml:space="preserve"> and then </w:t>
      </w:r>
      <w:r w:rsidR="00A5487C">
        <w:t xml:space="preserve">need to </w:t>
      </w:r>
      <w:r w:rsidR="00D80230" w:rsidRPr="003D1C51">
        <w:t>recover funds from researchers to o</w:t>
      </w:r>
      <w:r w:rsidR="00A5487C">
        <w:t>ffset the cost</w:t>
      </w:r>
      <w:r w:rsidR="00CB641A">
        <w:t>.</w:t>
      </w:r>
      <w:r w:rsidR="00C568FB" w:rsidRPr="00CB641A">
        <w:rPr>
          <w:rFonts w:eastAsia="Times New Roman"/>
        </w:rPr>
        <w:br w:type="page"/>
      </w:r>
    </w:p>
    <w:p w14:paraId="536B2F6A" w14:textId="77777777" w:rsidR="00D80230" w:rsidRDefault="00035382" w:rsidP="00DE3CCD">
      <w:pPr>
        <w:pStyle w:val="Heading1"/>
        <w:spacing w:line="240" w:lineRule="auto"/>
        <w:rPr>
          <w:rFonts w:eastAsia="Times New Roman"/>
        </w:rPr>
      </w:pPr>
      <w:bookmarkStart w:id="13" w:name="_Toc469383396"/>
      <w:r>
        <w:rPr>
          <w:rFonts w:eastAsia="Times New Roman"/>
        </w:rPr>
        <w:lastRenderedPageBreak/>
        <w:t>5</w:t>
      </w:r>
      <w:r w:rsidR="001E0112">
        <w:rPr>
          <w:rFonts w:eastAsia="Times New Roman"/>
        </w:rPr>
        <w:t xml:space="preserve"> </w:t>
      </w:r>
      <w:r w:rsidR="00EE23F2">
        <w:rPr>
          <w:rFonts w:eastAsia="Times New Roman"/>
        </w:rPr>
        <w:t>–</w:t>
      </w:r>
      <w:r w:rsidR="001E0112">
        <w:rPr>
          <w:rFonts w:eastAsia="Times New Roman"/>
        </w:rPr>
        <w:t xml:space="preserve"> </w:t>
      </w:r>
      <w:r w:rsidR="00D80230" w:rsidRPr="003D1C51">
        <w:rPr>
          <w:rFonts w:eastAsia="Times New Roman"/>
        </w:rPr>
        <w:t>Assessment</w:t>
      </w:r>
      <w:bookmarkEnd w:id="13"/>
    </w:p>
    <w:p w14:paraId="6D4158FD" w14:textId="77777777" w:rsidR="009C119A" w:rsidRDefault="00035382" w:rsidP="00DE3CCD">
      <w:pPr>
        <w:pStyle w:val="Heading2"/>
        <w:spacing w:line="240" w:lineRule="auto"/>
      </w:pPr>
      <w:bookmarkStart w:id="14" w:name="_Toc469383397"/>
      <w:r>
        <w:t>5</w:t>
      </w:r>
      <w:r w:rsidR="00372032">
        <w:t>.1 – Software Licensing Tiers</w:t>
      </w:r>
      <w:bookmarkEnd w:id="14"/>
    </w:p>
    <w:p w14:paraId="7EFFD7FE" w14:textId="77777777" w:rsidR="00BD25BA" w:rsidRDefault="00BD25BA" w:rsidP="00DE3CCD">
      <w:r>
        <w:t xml:space="preserve">In reviewing a sample (Appendix C) of the multiple software titles that are currently being </w:t>
      </w:r>
      <w:r w:rsidR="00535BC5">
        <w:t xml:space="preserve">applied </w:t>
      </w:r>
      <w:r>
        <w:t xml:space="preserve">across campus, the SLTG identified the various </w:t>
      </w:r>
      <w:r w:rsidR="005C2A21">
        <w:t>T</w:t>
      </w:r>
      <w:r>
        <w:t xml:space="preserve">iers (Appendix B) </w:t>
      </w:r>
      <w:r w:rsidR="005C2A21">
        <w:t xml:space="preserve">at which </w:t>
      </w:r>
      <w:r>
        <w:t xml:space="preserve">software </w:t>
      </w:r>
      <w:r w:rsidR="005C2A21">
        <w:t xml:space="preserve">license management operates </w:t>
      </w:r>
      <w:r>
        <w:t>at Queen’</w:t>
      </w:r>
      <w:r w:rsidR="005C2A21">
        <w:t>s. Each Tier has its own benefits, constraints, risks and serves a specific audience.</w:t>
      </w:r>
    </w:p>
    <w:p w14:paraId="380E35AB" w14:textId="77777777" w:rsidR="005C2A21" w:rsidRDefault="005C2A21" w:rsidP="005C2A21">
      <w:pPr>
        <w:pStyle w:val="Heading2"/>
      </w:pPr>
      <w:bookmarkStart w:id="15" w:name="_Toc469383398"/>
      <w:r>
        <w:t>5.1.1 – Tier 1 – Direct Purchase</w:t>
      </w:r>
      <w:bookmarkEnd w:id="15"/>
    </w:p>
    <w:p w14:paraId="142DA77B" w14:textId="77777777" w:rsidR="005C2A21" w:rsidRPr="005C2A21" w:rsidRDefault="005C2A21" w:rsidP="005C2A21">
      <w:r>
        <w:t>Vendors are contacted by the department, faculty, school or individual, and the software is purchased (or a contract is signed) to acquire the licenses desired. The</w:t>
      </w:r>
      <w:r w:rsidR="004275D2">
        <w:t xml:space="preserve"> management and distribution remains</w:t>
      </w:r>
      <w:r>
        <w:t xml:space="preserve"> the responsibility of the </w:t>
      </w:r>
      <w:r w:rsidR="004275D2">
        <w:t>unit.</w:t>
      </w:r>
    </w:p>
    <w:p w14:paraId="367EE2AA" w14:textId="77777777" w:rsidR="005C2A21" w:rsidRDefault="005C2A21" w:rsidP="005C2A21">
      <w:pPr>
        <w:pStyle w:val="Heading2"/>
      </w:pPr>
      <w:bookmarkStart w:id="16" w:name="_Toc469383399"/>
      <w:r>
        <w:t xml:space="preserve">5.1.2 – Tier 2 – </w:t>
      </w:r>
      <w:r w:rsidRPr="005C2A21">
        <w:t>Funded by select departments</w:t>
      </w:r>
      <w:bookmarkEnd w:id="16"/>
    </w:p>
    <w:p w14:paraId="3CCA6A73" w14:textId="77777777" w:rsidR="005C2A21" w:rsidRPr="005C2A21" w:rsidRDefault="004275D2" w:rsidP="005C2A21">
      <w:r>
        <w:t xml:space="preserve">A single unit facilitates the procurement and distribution on behalf of multiple units for the benefit of reduced pricing and coordinated dealings with the vendor. The management and distribution of the software can vary depending on the structure chosen by the units paying for the software. The software may be (if purchased as an enterprise license) offered to the entire university in the hopes of garnering more users that may help spread out the cost further. In other scenarios, the desire is for the license (whether it is enterprise or not) to be only provided to those who have contributed to the cost and are not interested in wider use of the license. Depending on the agreement with the vendor, the distribution of non-enterprise licenses vary greatly, as does the </w:t>
      </w:r>
      <w:r w:rsidR="00BA7A30">
        <w:t>method by which they will need to be managed to ensure compliance.</w:t>
      </w:r>
      <w:r>
        <w:t xml:space="preserve"> </w:t>
      </w:r>
    </w:p>
    <w:p w14:paraId="3C629DB0" w14:textId="77777777" w:rsidR="005C2A21" w:rsidRDefault="005C2A21" w:rsidP="005C2A21">
      <w:pPr>
        <w:pStyle w:val="Heading2"/>
      </w:pPr>
      <w:bookmarkStart w:id="17" w:name="_Toc469383400"/>
      <w:r>
        <w:t xml:space="preserve">5.1.3 – Tier 3 – </w:t>
      </w:r>
      <w:r w:rsidRPr="005C2A21">
        <w:t>Paid from "central fund" and attributed to all faculties</w:t>
      </w:r>
      <w:bookmarkEnd w:id="17"/>
    </w:p>
    <w:p w14:paraId="2E482F99" w14:textId="77777777" w:rsidR="005C2A21" w:rsidRPr="005C2A21" w:rsidRDefault="00BA7A30" w:rsidP="005C2A21">
      <w:r>
        <w:t>Software is purchased, licensed and distributed at the enterprise level. A single purchase is made for the software, and the distribution is facilitated via a single source that allows the download of the software to anyone at Queen’s. While these licenses occasionally come at an initial higher cost to the university, the savings from the reduced “per user” license plus the lower cost of maintenance and management can prove to be a net cost savings to the university. In addition, the ability of the university to maintain compliance and reduce risk of copyright infringement is reduced tremendously.</w:t>
      </w:r>
    </w:p>
    <w:p w14:paraId="2256BF13" w14:textId="77777777" w:rsidR="00F92BD7" w:rsidRPr="00BA7A30" w:rsidRDefault="00F92BD7" w:rsidP="00BA7A30"/>
    <w:p w14:paraId="74ED021B" w14:textId="397499F9" w:rsidR="00D80230" w:rsidRPr="003D1C51" w:rsidRDefault="00BC67CC" w:rsidP="00BC67CC">
      <w:pPr>
        <w:pStyle w:val="Heading1"/>
        <w:spacing w:line="240" w:lineRule="auto"/>
      </w:pPr>
      <w:bookmarkStart w:id="18" w:name="_Toc469383401"/>
      <w:r>
        <w:t xml:space="preserve">6 </w:t>
      </w:r>
      <w:r w:rsidR="00A71DD1">
        <w:t>–</w:t>
      </w:r>
      <w:r w:rsidR="001E0112">
        <w:t xml:space="preserve"> </w:t>
      </w:r>
      <w:r w:rsidR="00A71DD1">
        <w:t>Options Analysis</w:t>
      </w:r>
      <w:bookmarkEnd w:id="18"/>
      <w:r w:rsidR="0026177A">
        <w:t xml:space="preserve"> </w:t>
      </w:r>
    </w:p>
    <w:p w14:paraId="4376CD94" w14:textId="77777777" w:rsidR="00F92BD7" w:rsidRDefault="00035382" w:rsidP="00035382">
      <w:pPr>
        <w:pStyle w:val="Heading2"/>
        <w:spacing w:line="240" w:lineRule="auto"/>
      </w:pPr>
      <w:bookmarkStart w:id="19" w:name="_Toc469383402"/>
      <w:r>
        <w:t xml:space="preserve">6.1 </w:t>
      </w:r>
      <w:r w:rsidR="00F92BD7">
        <w:t>– Support for Tier 3 Software Licenses</w:t>
      </w:r>
      <w:r w:rsidR="00552293">
        <w:t xml:space="preserve"> </w:t>
      </w:r>
      <w:r w:rsidR="00372032">
        <w:t xml:space="preserve">only </w:t>
      </w:r>
      <w:r w:rsidR="00552293">
        <w:t>(Central Model)</w:t>
      </w:r>
      <w:bookmarkEnd w:id="19"/>
    </w:p>
    <w:p w14:paraId="3FB985B3" w14:textId="77777777" w:rsidR="00C365C6" w:rsidRDefault="00C365C6" w:rsidP="00C365C6">
      <w:pPr>
        <w:spacing w:line="240" w:lineRule="auto"/>
      </w:pPr>
    </w:p>
    <w:p w14:paraId="4B4B0330" w14:textId="77777777" w:rsidR="00FB7A72" w:rsidRPr="00C365C6" w:rsidRDefault="00FB7A72" w:rsidP="00C365C6">
      <w:pPr>
        <w:spacing w:line="240" w:lineRule="auto"/>
        <w:rPr>
          <w:b/>
        </w:rPr>
      </w:pPr>
      <w:r w:rsidRPr="00C365C6">
        <w:rPr>
          <w:b/>
        </w:rPr>
        <w:t>ITS continues to manage enterprise wide agreements</w:t>
      </w:r>
      <w:r w:rsidR="00C365C6" w:rsidRPr="00C365C6">
        <w:rPr>
          <w:b/>
        </w:rPr>
        <w:t xml:space="preserve"> for electronic download, and funding for the enterprise software be added to base earmarked software account.</w:t>
      </w:r>
    </w:p>
    <w:p w14:paraId="17C61624" w14:textId="77777777" w:rsidR="00FB7A72" w:rsidRDefault="00FB7A72" w:rsidP="00DE3CCD">
      <w:pPr>
        <w:pStyle w:val="ListParagraph"/>
        <w:numPr>
          <w:ilvl w:val="0"/>
          <w:numId w:val="10"/>
        </w:numPr>
        <w:spacing w:line="240" w:lineRule="auto"/>
      </w:pPr>
      <w:r>
        <w:t>These agreements require a central fundin</w:t>
      </w:r>
      <w:r w:rsidR="00C44EF5">
        <w:t xml:space="preserve">g budget request to eliminate the charge back model </w:t>
      </w:r>
      <w:r w:rsidR="00A5487C">
        <w:t xml:space="preserve">to the faculties, departments and schools </w:t>
      </w:r>
      <w:r w:rsidR="00C44EF5">
        <w:t>that would otherwise be required to cover the cost of the software licenses.</w:t>
      </w:r>
    </w:p>
    <w:p w14:paraId="254C246B" w14:textId="77777777" w:rsidR="00FB7A72" w:rsidRDefault="00FB7A72" w:rsidP="00DE3CCD">
      <w:pPr>
        <w:pStyle w:val="ListParagraph"/>
        <w:numPr>
          <w:ilvl w:val="0"/>
          <w:numId w:val="10"/>
        </w:numPr>
        <w:spacing w:line="240" w:lineRule="auto"/>
      </w:pPr>
      <w:r>
        <w:t>Enterprise wide agreements are software titles that include some of the following criteria:</w:t>
      </w:r>
    </w:p>
    <w:p w14:paraId="751DDF54" w14:textId="77777777" w:rsidR="00FB7A72" w:rsidRDefault="00FB7A72" w:rsidP="00DE3CCD">
      <w:pPr>
        <w:pStyle w:val="ListParagraph"/>
        <w:numPr>
          <w:ilvl w:val="1"/>
          <w:numId w:val="10"/>
        </w:numPr>
        <w:spacing w:line="240" w:lineRule="auto"/>
      </w:pPr>
      <w:r>
        <w:t>The software is licensed for unlimited installations to Queen’s staff and/or students</w:t>
      </w:r>
      <w:r w:rsidR="00454F63">
        <w:t>.</w:t>
      </w:r>
    </w:p>
    <w:p w14:paraId="160D9E24" w14:textId="77777777" w:rsidR="00FB7A72" w:rsidRDefault="00FB7A72" w:rsidP="00DE3CCD">
      <w:pPr>
        <w:pStyle w:val="ListParagraph"/>
        <w:numPr>
          <w:ilvl w:val="1"/>
          <w:numId w:val="10"/>
        </w:numPr>
        <w:spacing w:line="240" w:lineRule="auto"/>
      </w:pPr>
      <w:r>
        <w:t>The software is required for teaching and labs</w:t>
      </w:r>
      <w:r w:rsidRPr="00DF3477">
        <w:t xml:space="preserve"> </w:t>
      </w:r>
      <w:r>
        <w:t>by multiple academic departments</w:t>
      </w:r>
      <w:r w:rsidR="00454F63">
        <w:t>.</w:t>
      </w:r>
    </w:p>
    <w:p w14:paraId="2378920A" w14:textId="77777777" w:rsidR="00FB7A72" w:rsidRDefault="00FB7A72" w:rsidP="00DE3CCD">
      <w:pPr>
        <w:pStyle w:val="ListParagraph"/>
        <w:numPr>
          <w:ilvl w:val="1"/>
          <w:numId w:val="10"/>
        </w:numPr>
        <w:spacing w:line="240" w:lineRule="auto"/>
      </w:pPr>
      <w:r>
        <w:t>The software is required by multiple researchers in multiple departments</w:t>
      </w:r>
      <w:r w:rsidR="00454F63">
        <w:t>.</w:t>
      </w:r>
    </w:p>
    <w:p w14:paraId="63873DA2" w14:textId="77777777" w:rsidR="00FB7A72" w:rsidRDefault="00FB7A72" w:rsidP="00DE3CCD">
      <w:pPr>
        <w:pStyle w:val="ListParagraph"/>
        <w:numPr>
          <w:ilvl w:val="1"/>
          <w:numId w:val="10"/>
        </w:numPr>
        <w:spacing w:line="240" w:lineRule="auto"/>
      </w:pPr>
      <w:r>
        <w:lastRenderedPageBreak/>
        <w:t>The software is used administratively across Queen’s</w:t>
      </w:r>
      <w:r w:rsidR="00454F63">
        <w:t>.</w:t>
      </w:r>
    </w:p>
    <w:p w14:paraId="56544BF0" w14:textId="77777777" w:rsidR="00454F63" w:rsidRDefault="00454F63" w:rsidP="00DE3CCD">
      <w:pPr>
        <w:pStyle w:val="ListParagraph"/>
        <w:numPr>
          <w:ilvl w:val="1"/>
          <w:numId w:val="10"/>
        </w:numPr>
        <w:spacing w:line="240" w:lineRule="auto"/>
      </w:pPr>
      <w:r>
        <w:t>The software cannot be funded within a single unit and would affect course offerings at the university if it was not available.</w:t>
      </w:r>
    </w:p>
    <w:p w14:paraId="7AF21917" w14:textId="77777777" w:rsidR="00F92BD7" w:rsidRDefault="00C44EF5" w:rsidP="00DE3CCD">
      <w:pPr>
        <w:pStyle w:val="ListParagraph"/>
        <w:numPr>
          <w:ilvl w:val="0"/>
          <w:numId w:val="10"/>
        </w:numPr>
        <w:spacing w:line="240" w:lineRule="auto"/>
      </w:pPr>
      <w:r>
        <w:t>It is the recommendation of the SLTG that funding totaling</w:t>
      </w:r>
      <w:r w:rsidR="00C15F3E">
        <w:t xml:space="preserve"> $214K </w:t>
      </w:r>
      <w:r>
        <w:t xml:space="preserve">be </w:t>
      </w:r>
      <w:r w:rsidR="00672B56">
        <w:t xml:space="preserve">initially </w:t>
      </w:r>
      <w:r>
        <w:t xml:space="preserve">provided for the following </w:t>
      </w:r>
      <w:r w:rsidR="00F92BD7">
        <w:t>e</w:t>
      </w:r>
      <w:r>
        <w:t>nterprise licenses</w:t>
      </w:r>
      <w:r w:rsidR="00F92BD7">
        <w:t>:</w:t>
      </w:r>
    </w:p>
    <w:p w14:paraId="34B97E91" w14:textId="77777777" w:rsidR="00F92BD7" w:rsidRDefault="00C15F3E" w:rsidP="00DE3CCD">
      <w:pPr>
        <w:pStyle w:val="ListParagraph"/>
        <w:numPr>
          <w:ilvl w:val="1"/>
          <w:numId w:val="7"/>
        </w:numPr>
        <w:spacing w:line="240" w:lineRule="auto"/>
      </w:pPr>
      <w:r>
        <w:t>SAS ($7</w:t>
      </w:r>
      <w:r w:rsidR="00F92BD7">
        <w:t>K)</w:t>
      </w:r>
    </w:p>
    <w:p w14:paraId="4B395A37" w14:textId="77777777" w:rsidR="00F92BD7" w:rsidRDefault="00C15F3E" w:rsidP="00DE3CCD">
      <w:pPr>
        <w:pStyle w:val="ListParagraph"/>
        <w:numPr>
          <w:ilvl w:val="1"/>
          <w:numId w:val="7"/>
        </w:numPr>
        <w:spacing w:line="240" w:lineRule="auto"/>
      </w:pPr>
      <w:r>
        <w:t>SPSS ($90</w:t>
      </w:r>
      <w:r w:rsidR="00F92BD7">
        <w:t>K)</w:t>
      </w:r>
    </w:p>
    <w:p w14:paraId="7246CC24" w14:textId="77777777" w:rsidR="00F92BD7" w:rsidRDefault="00F92BD7" w:rsidP="00DE3CCD">
      <w:pPr>
        <w:pStyle w:val="ListParagraph"/>
        <w:numPr>
          <w:ilvl w:val="1"/>
          <w:numId w:val="7"/>
        </w:numPr>
        <w:spacing w:line="240" w:lineRule="auto"/>
      </w:pPr>
      <w:r>
        <w:t>Maple ($12K)</w:t>
      </w:r>
    </w:p>
    <w:p w14:paraId="21126AF4" w14:textId="77777777" w:rsidR="00456DE8" w:rsidRDefault="00F92BD7" w:rsidP="00456DE8">
      <w:pPr>
        <w:pStyle w:val="ListParagraph"/>
        <w:numPr>
          <w:ilvl w:val="1"/>
          <w:numId w:val="7"/>
        </w:numPr>
        <w:spacing w:line="240" w:lineRule="auto"/>
      </w:pPr>
      <w:r>
        <w:t>MatLab ($80K)</w:t>
      </w:r>
    </w:p>
    <w:p w14:paraId="5A9DDF71" w14:textId="77777777" w:rsidR="00456DE8" w:rsidRDefault="00C15F3E" w:rsidP="00456DE8">
      <w:pPr>
        <w:pStyle w:val="ListParagraph"/>
        <w:numPr>
          <w:ilvl w:val="1"/>
          <w:numId w:val="7"/>
        </w:numPr>
        <w:spacing w:line="240" w:lineRule="auto"/>
      </w:pPr>
      <w:r>
        <w:t>ARC-GIS ($25K)</w:t>
      </w:r>
    </w:p>
    <w:p w14:paraId="7591D2DB" w14:textId="01FCD3D8" w:rsidR="00F92BD7" w:rsidRDefault="00F92BD7" w:rsidP="00DE3CCD">
      <w:pPr>
        <w:pStyle w:val="ListParagraph"/>
        <w:numPr>
          <w:ilvl w:val="0"/>
          <w:numId w:val="10"/>
        </w:numPr>
        <w:spacing w:line="240" w:lineRule="auto"/>
      </w:pPr>
      <w:r>
        <w:t>Budget request</w:t>
      </w:r>
      <w:r w:rsidR="002D5043">
        <w:t>s</w:t>
      </w:r>
      <w:r>
        <w:t xml:space="preserve"> will be needed to ensure s</w:t>
      </w:r>
      <w:r w:rsidR="00C15F3E">
        <w:t>oftware licenses are maintained for fiscal 2017-18.</w:t>
      </w:r>
    </w:p>
    <w:p w14:paraId="76530F78" w14:textId="77777777" w:rsidR="00F92BD7" w:rsidRDefault="00F92BD7" w:rsidP="00DE3CCD">
      <w:pPr>
        <w:pStyle w:val="ListParagraph"/>
        <w:numPr>
          <w:ilvl w:val="0"/>
          <w:numId w:val="10"/>
        </w:numPr>
        <w:spacing w:line="240" w:lineRule="auto"/>
      </w:pPr>
      <w:r>
        <w:t xml:space="preserve">Business cases </w:t>
      </w:r>
      <w:r w:rsidR="009B2BE0">
        <w:t>will be written and presented by the department, faculty or school, and reviewed</w:t>
      </w:r>
      <w:r>
        <w:t xml:space="preserve"> by a Software License Review Committee </w:t>
      </w:r>
      <w:r w:rsidR="009B2BE0">
        <w:t>for approval of</w:t>
      </w:r>
      <w:r w:rsidR="00FB7A72">
        <w:t xml:space="preserve"> the</w:t>
      </w:r>
      <w:r>
        <w:t>:</w:t>
      </w:r>
    </w:p>
    <w:p w14:paraId="6B856ECB" w14:textId="77777777" w:rsidR="00F92BD7" w:rsidRDefault="00FB7A72" w:rsidP="00DE3CCD">
      <w:pPr>
        <w:pStyle w:val="ListParagraph"/>
        <w:numPr>
          <w:ilvl w:val="1"/>
          <w:numId w:val="7"/>
        </w:numPr>
        <w:spacing w:line="240" w:lineRule="auto"/>
      </w:pPr>
      <w:r>
        <w:t>a</w:t>
      </w:r>
      <w:r w:rsidR="00F92BD7">
        <w:t>ddition to the current enterprise software offering (as a replacement for another title)</w:t>
      </w:r>
    </w:p>
    <w:p w14:paraId="78F859DA" w14:textId="00AC9FFB" w:rsidR="00F92BD7" w:rsidRDefault="00FB7A72" w:rsidP="00DE3CCD">
      <w:pPr>
        <w:pStyle w:val="ListParagraph"/>
        <w:numPr>
          <w:ilvl w:val="1"/>
          <w:numId w:val="7"/>
        </w:numPr>
        <w:spacing w:line="240" w:lineRule="auto"/>
      </w:pPr>
      <w:r>
        <w:t>r</w:t>
      </w:r>
      <w:r w:rsidR="00F92BD7">
        <w:t>emoval from the current software offering (to provide funding for preferred software)</w:t>
      </w:r>
    </w:p>
    <w:p w14:paraId="6A9C06FD" w14:textId="77777777" w:rsidR="00FB7A72" w:rsidRDefault="00FB7A72" w:rsidP="00DE3CCD">
      <w:pPr>
        <w:pStyle w:val="ListParagraph"/>
        <w:numPr>
          <w:ilvl w:val="1"/>
          <w:numId w:val="7"/>
        </w:numPr>
        <w:spacing w:line="240" w:lineRule="auto"/>
      </w:pPr>
      <w:r>
        <w:t>a</w:t>
      </w:r>
      <w:r w:rsidR="00F92BD7">
        <w:t>dditional funding to ITS for a net-ne</w:t>
      </w:r>
      <w:r>
        <w:t>w offering</w:t>
      </w:r>
    </w:p>
    <w:p w14:paraId="7EC50F6B" w14:textId="6764B1BD" w:rsidR="00F92BD7" w:rsidRDefault="00F92BD7" w:rsidP="00DE3CCD">
      <w:pPr>
        <w:pStyle w:val="ListParagraph"/>
        <w:numPr>
          <w:ilvl w:val="0"/>
          <w:numId w:val="10"/>
        </w:numPr>
        <w:spacing w:line="240" w:lineRule="auto"/>
      </w:pPr>
      <w:r>
        <w:t>Recommendations would be then reviewed by EIT</w:t>
      </w:r>
      <w:r w:rsidR="00FB7A72">
        <w:t>AC</w:t>
      </w:r>
      <w:r w:rsidR="00A5487C">
        <w:t xml:space="preserve"> (Appendix D)</w:t>
      </w:r>
      <w:r w:rsidR="00FB7A72">
        <w:t xml:space="preserve">, as the </w:t>
      </w:r>
      <w:r w:rsidR="005A52FE">
        <w:t>decision-making</w:t>
      </w:r>
      <w:r w:rsidR="00FB7A72">
        <w:t xml:space="preserve"> body</w:t>
      </w:r>
      <w:r w:rsidR="00045431">
        <w:t>.</w:t>
      </w:r>
    </w:p>
    <w:p w14:paraId="68ED7135" w14:textId="79821F6B" w:rsidR="00045431" w:rsidRDefault="00045431" w:rsidP="00DE3CCD">
      <w:pPr>
        <w:pStyle w:val="ListParagraph"/>
        <w:numPr>
          <w:ilvl w:val="0"/>
          <w:numId w:val="10"/>
        </w:numPr>
        <w:spacing w:line="240" w:lineRule="auto"/>
      </w:pPr>
      <w:r>
        <w:t xml:space="preserve">EITAC would provide formal support for software additions/removals </w:t>
      </w:r>
      <w:r w:rsidR="00D769FA">
        <w:t xml:space="preserve">based </w:t>
      </w:r>
      <w:r>
        <w:t>on the criteria and the business case.</w:t>
      </w:r>
    </w:p>
    <w:p w14:paraId="781CE979" w14:textId="77777777" w:rsidR="00045431" w:rsidRDefault="00F92BD7" w:rsidP="00DE3CCD">
      <w:pPr>
        <w:pStyle w:val="ListParagraph"/>
        <w:numPr>
          <w:ilvl w:val="0"/>
          <w:numId w:val="10"/>
        </w:numPr>
        <w:spacing w:line="240" w:lineRule="auto"/>
      </w:pPr>
      <w:r>
        <w:t xml:space="preserve">EITAC would provide formal support for any </w:t>
      </w:r>
      <w:r w:rsidR="00454F63">
        <w:t>new funding request to assist with the</w:t>
      </w:r>
      <w:r>
        <w:t xml:space="preserve"> ITS budget submission.</w:t>
      </w:r>
    </w:p>
    <w:p w14:paraId="0835C464" w14:textId="77777777" w:rsidR="00F92BD7" w:rsidRDefault="00F92BD7" w:rsidP="00DE3CCD">
      <w:pPr>
        <w:pStyle w:val="ListParagraph"/>
        <w:numPr>
          <w:ilvl w:val="0"/>
          <w:numId w:val="10"/>
        </w:numPr>
        <w:spacing w:line="240" w:lineRule="auto"/>
      </w:pPr>
      <w:r>
        <w:t>Review committee in place for (bi) annual review of licenses covered by budget.</w:t>
      </w:r>
    </w:p>
    <w:p w14:paraId="11BBE681" w14:textId="0337C441" w:rsidR="009D0A15" w:rsidRDefault="009D0A15" w:rsidP="00DE3CCD">
      <w:pPr>
        <w:pStyle w:val="ListParagraph"/>
        <w:numPr>
          <w:ilvl w:val="0"/>
          <w:numId w:val="10"/>
        </w:numPr>
        <w:spacing w:line="240" w:lineRule="auto"/>
      </w:pPr>
      <w:r>
        <w:t xml:space="preserve">Distribution of software through MyQueensU portal based on </w:t>
      </w:r>
      <w:r w:rsidR="00D769FA">
        <w:t xml:space="preserve">the </w:t>
      </w:r>
      <w:r>
        <w:t xml:space="preserve">role of </w:t>
      </w:r>
      <w:r w:rsidR="00D769FA">
        <w:t xml:space="preserve">the </w:t>
      </w:r>
      <w:r>
        <w:t>end user and usage rights for specific titles.</w:t>
      </w:r>
    </w:p>
    <w:p w14:paraId="7086A2D9" w14:textId="77777777" w:rsidR="009D0A15" w:rsidRDefault="009D0A15" w:rsidP="00DE3CCD">
      <w:pPr>
        <w:pStyle w:val="ListParagraph"/>
        <w:numPr>
          <w:ilvl w:val="0"/>
          <w:numId w:val="10"/>
        </w:numPr>
        <w:spacing w:line="240" w:lineRule="auto"/>
      </w:pPr>
      <w:r>
        <w:t>All software titles not approved for Enterprise Funding will be procured, distributed and maintained within the Faculty, School or Department that has selected it for use.</w:t>
      </w:r>
    </w:p>
    <w:p w14:paraId="782263AD" w14:textId="77777777" w:rsidR="009D0A15" w:rsidRDefault="009D0A15" w:rsidP="00DE3CCD">
      <w:pPr>
        <w:pStyle w:val="ListParagraph"/>
        <w:spacing w:line="240" w:lineRule="auto"/>
      </w:pPr>
    </w:p>
    <w:p w14:paraId="5A56E5FF" w14:textId="77777777" w:rsidR="004D0A71" w:rsidRDefault="004D0A71" w:rsidP="005E47C4">
      <w:pPr>
        <w:pStyle w:val="ListParagraph"/>
        <w:spacing w:line="240" w:lineRule="auto"/>
        <w:ind w:left="0"/>
      </w:pPr>
      <w:r w:rsidRPr="006716BE">
        <w:rPr>
          <w:b/>
        </w:rPr>
        <w:t>Benefits</w:t>
      </w:r>
      <w:r w:rsidR="006716BE" w:rsidRPr="006716BE">
        <w:rPr>
          <w:b/>
        </w:rPr>
        <w:t>:</w:t>
      </w:r>
      <w:r w:rsidR="006716BE">
        <w:rPr>
          <w:b/>
        </w:rPr>
        <w:t xml:space="preserve"> </w:t>
      </w:r>
      <w:r w:rsidR="006716BE">
        <w:t>This option provides th</w:t>
      </w:r>
      <w:r w:rsidR="00454F63">
        <w:t>e most transparent process, largest</w:t>
      </w:r>
      <w:r w:rsidR="006716BE">
        <w:t xml:space="preserve"> (enterprise) cost reduction, and scalable solution to the university</w:t>
      </w:r>
      <w:r w:rsidR="0024623F">
        <w:t>.</w:t>
      </w:r>
    </w:p>
    <w:p w14:paraId="52C2551B" w14:textId="77777777" w:rsidR="0024623F" w:rsidRDefault="0024623F" w:rsidP="004D0A71">
      <w:pPr>
        <w:pStyle w:val="ListParagraph"/>
        <w:spacing w:line="240" w:lineRule="auto"/>
        <w:ind w:left="360"/>
      </w:pPr>
    </w:p>
    <w:tbl>
      <w:tblPr>
        <w:tblStyle w:val="TableGrid"/>
        <w:tblW w:w="9634" w:type="dxa"/>
        <w:jc w:val="center"/>
        <w:tblLook w:val="04A0" w:firstRow="1" w:lastRow="0" w:firstColumn="1" w:lastColumn="0" w:noHBand="0" w:noVBand="1"/>
      </w:tblPr>
      <w:tblGrid>
        <w:gridCol w:w="1573"/>
        <w:gridCol w:w="1400"/>
        <w:gridCol w:w="1134"/>
        <w:gridCol w:w="851"/>
        <w:gridCol w:w="1052"/>
        <w:gridCol w:w="1085"/>
        <w:gridCol w:w="862"/>
        <w:gridCol w:w="1677"/>
      </w:tblGrid>
      <w:tr w:rsidR="008F1A5E" w:rsidRPr="00093C45" w14:paraId="7E2043F9" w14:textId="77777777" w:rsidTr="008F1A5E">
        <w:trPr>
          <w:trHeight w:val="300"/>
          <w:jc w:val="center"/>
        </w:trPr>
        <w:tc>
          <w:tcPr>
            <w:tcW w:w="4958" w:type="dxa"/>
            <w:gridSpan w:val="4"/>
            <w:shd w:val="clear" w:color="auto" w:fill="BDD6EE" w:themeFill="accent1" w:themeFillTint="66"/>
            <w:noWrap/>
            <w:hideMark/>
          </w:tcPr>
          <w:p w14:paraId="0447D51D" w14:textId="77777777" w:rsidR="008F1A5E" w:rsidRPr="00093C45" w:rsidRDefault="008F1A5E" w:rsidP="00093C45">
            <w:pPr>
              <w:rPr>
                <w:b/>
                <w:bCs/>
              </w:rPr>
            </w:pPr>
            <w:r w:rsidRPr="00093C45">
              <w:rPr>
                <w:b/>
                <w:bCs/>
              </w:rPr>
              <w:t>Current Enterprise Licensing</w:t>
            </w:r>
          </w:p>
        </w:tc>
        <w:tc>
          <w:tcPr>
            <w:tcW w:w="2999" w:type="dxa"/>
            <w:gridSpan w:val="3"/>
            <w:shd w:val="clear" w:color="auto" w:fill="FFE599" w:themeFill="accent4" w:themeFillTint="66"/>
          </w:tcPr>
          <w:p w14:paraId="52C76704" w14:textId="77777777" w:rsidR="008F1A5E" w:rsidRPr="00093C45" w:rsidRDefault="008F1A5E" w:rsidP="00093C45">
            <w:pPr>
              <w:rPr>
                <w:b/>
                <w:bCs/>
              </w:rPr>
            </w:pPr>
            <w:r>
              <w:rPr>
                <w:b/>
                <w:bCs/>
              </w:rPr>
              <w:t>Individual Pricing</w:t>
            </w:r>
          </w:p>
        </w:tc>
        <w:tc>
          <w:tcPr>
            <w:tcW w:w="1677" w:type="dxa"/>
            <w:shd w:val="clear" w:color="auto" w:fill="C5E0B3" w:themeFill="accent6" w:themeFillTint="66"/>
          </w:tcPr>
          <w:p w14:paraId="46C7E81C" w14:textId="77777777" w:rsidR="008F1A5E" w:rsidRDefault="008F1A5E" w:rsidP="00093C45">
            <w:pPr>
              <w:rPr>
                <w:b/>
                <w:bCs/>
              </w:rPr>
            </w:pPr>
            <w:r>
              <w:rPr>
                <w:b/>
                <w:bCs/>
              </w:rPr>
              <w:t>Current Users</w:t>
            </w:r>
          </w:p>
        </w:tc>
      </w:tr>
      <w:tr w:rsidR="008F1A5E" w:rsidRPr="00093C45" w14:paraId="456D3467" w14:textId="77777777" w:rsidTr="008F1A5E">
        <w:trPr>
          <w:trHeight w:val="915"/>
          <w:jc w:val="center"/>
        </w:trPr>
        <w:tc>
          <w:tcPr>
            <w:tcW w:w="1573" w:type="dxa"/>
            <w:shd w:val="clear" w:color="auto" w:fill="BDD6EE" w:themeFill="accent1" w:themeFillTint="66"/>
            <w:hideMark/>
          </w:tcPr>
          <w:p w14:paraId="36DCA470" w14:textId="77777777" w:rsidR="008F1A5E" w:rsidRPr="00093C45" w:rsidRDefault="008F1A5E" w:rsidP="00093C45">
            <w:r w:rsidRPr="00093C45">
              <w:t>Reco</w:t>
            </w:r>
            <w:r>
              <w:t>m</w:t>
            </w:r>
            <w:r w:rsidRPr="00093C45">
              <w:t>mended Campus Wide agreements</w:t>
            </w:r>
          </w:p>
        </w:tc>
        <w:tc>
          <w:tcPr>
            <w:tcW w:w="1400" w:type="dxa"/>
            <w:shd w:val="clear" w:color="auto" w:fill="BDD6EE" w:themeFill="accent1" w:themeFillTint="66"/>
            <w:hideMark/>
          </w:tcPr>
          <w:p w14:paraId="499D35A1" w14:textId="77777777" w:rsidR="008F1A5E" w:rsidRPr="00093C45" w:rsidRDefault="008F1A5E" w:rsidP="00093C45">
            <w:r w:rsidRPr="00093C45">
              <w:t xml:space="preserve">Annual Cost </w:t>
            </w:r>
          </w:p>
        </w:tc>
        <w:tc>
          <w:tcPr>
            <w:tcW w:w="1134" w:type="dxa"/>
            <w:shd w:val="clear" w:color="auto" w:fill="BDD6EE" w:themeFill="accent1" w:themeFillTint="66"/>
            <w:hideMark/>
          </w:tcPr>
          <w:p w14:paraId="2F1F2C45" w14:textId="77777777" w:rsidR="008F1A5E" w:rsidRPr="00093C45" w:rsidRDefault="008F1A5E" w:rsidP="00093C45">
            <w:r w:rsidRPr="00093C45">
              <w:t>FTE count</w:t>
            </w:r>
          </w:p>
        </w:tc>
        <w:tc>
          <w:tcPr>
            <w:tcW w:w="851" w:type="dxa"/>
            <w:shd w:val="clear" w:color="auto" w:fill="BDD6EE" w:themeFill="accent1" w:themeFillTint="66"/>
            <w:hideMark/>
          </w:tcPr>
          <w:p w14:paraId="59F2112E" w14:textId="77777777" w:rsidR="008F1A5E" w:rsidRPr="00093C45" w:rsidRDefault="008F1A5E" w:rsidP="00093C45">
            <w:r>
              <w:t>P</w:t>
            </w:r>
            <w:r w:rsidRPr="00093C45">
              <w:t xml:space="preserve">rice per user </w:t>
            </w:r>
          </w:p>
        </w:tc>
        <w:tc>
          <w:tcPr>
            <w:tcW w:w="1052" w:type="dxa"/>
            <w:shd w:val="clear" w:color="auto" w:fill="FFE599" w:themeFill="accent4" w:themeFillTint="66"/>
          </w:tcPr>
          <w:p w14:paraId="368A01CE" w14:textId="77777777" w:rsidR="008F1A5E" w:rsidRDefault="008F1A5E" w:rsidP="00093C45">
            <w:r>
              <w:t>Per Faculty</w:t>
            </w:r>
          </w:p>
        </w:tc>
        <w:tc>
          <w:tcPr>
            <w:tcW w:w="1085" w:type="dxa"/>
            <w:shd w:val="clear" w:color="auto" w:fill="FFE599" w:themeFill="accent4" w:themeFillTint="66"/>
          </w:tcPr>
          <w:p w14:paraId="67740B7C" w14:textId="77777777" w:rsidR="008F1A5E" w:rsidRDefault="008F1A5E" w:rsidP="00093C45">
            <w:r>
              <w:t>Per Student</w:t>
            </w:r>
          </w:p>
        </w:tc>
        <w:tc>
          <w:tcPr>
            <w:tcW w:w="862" w:type="dxa"/>
            <w:shd w:val="clear" w:color="auto" w:fill="FFE599" w:themeFill="accent4" w:themeFillTint="66"/>
          </w:tcPr>
          <w:p w14:paraId="69E9711B" w14:textId="77777777" w:rsidR="008F1A5E" w:rsidRDefault="008F1A5E" w:rsidP="00093C45">
            <w:r>
              <w:t>Per Staff</w:t>
            </w:r>
          </w:p>
        </w:tc>
        <w:tc>
          <w:tcPr>
            <w:tcW w:w="1677" w:type="dxa"/>
            <w:shd w:val="clear" w:color="auto" w:fill="C5E0B3" w:themeFill="accent6" w:themeFillTint="66"/>
          </w:tcPr>
          <w:p w14:paraId="3BA50994" w14:textId="77777777" w:rsidR="008F1A5E" w:rsidRDefault="008F1A5E" w:rsidP="00093C45">
            <w:r>
              <w:t>Combination of Faculty, Students &amp; Staff</w:t>
            </w:r>
          </w:p>
        </w:tc>
      </w:tr>
      <w:tr w:rsidR="008F1A5E" w:rsidRPr="00093C45" w14:paraId="5A1B9A95" w14:textId="77777777" w:rsidTr="008F1A5E">
        <w:trPr>
          <w:trHeight w:val="300"/>
          <w:jc w:val="center"/>
        </w:trPr>
        <w:tc>
          <w:tcPr>
            <w:tcW w:w="1573" w:type="dxa"/>
            <w:shd w:val="clear" w:color="auto" w:fill="BDD6EE" w:themeFill="accent1" w:themeFillTint="66"/>
            <w:noWrap/>
            <w:hideMark/>
          </w:tcPr>
          <w:p w14:paraId="098031C2" w14:textId="77777777" w:rsidR="008F1A5E" w:rsidRPr="00093C45" w:rsidRDefault="008F1A5E" w:rsidP="00093C45">
            <w:r w:rsidRPr="00093C45">
              <w:t>MatLab</w:t>
            </w:r>
          </w:p>
        </w:tc>
        <w:tc>
          <w:tcPr>
            <w:tcW w:w="1400" w:type="dxa"/>
            <w:shd w:val="clear" w:color="auto" w:fill="BDD6EE" w:themeFill="accent1" w:themeFillTint="66"/>
            <w:noWrap/>
            <w:hideMark/>
          </w:tcPr>
          <w:p w14:paraId="160186E4" w14:textId="77777777" w:rsidR="008F1A5E" w:rsidRPr="00093C45" w:rsidRDefault="008F1A5E" w:rsidP="00093C45">
            <w:r>
              <w:t>$80,000</w:t>
            </w:r>
          </w:p>
        </w:tc>
        <w:tc>
          <w:tcPr>
            <w:tcW w:w="1134" w:type="dxa"/>
            <w:shd w:val="clear" w:color="auto" w:fill="BDD6EE" w:themeFill="accent1" w:themeFillTint="66"/>
            <w:noWrap/>
            <w:hideMark/>
          </w:tcPr>
          <w:p w14:paraId="53A0A122" w14:textId="77777777" w:rsidR="008F1A5E" w:rsidRPr="00093C45" w:rsidRDefault="008F1A5E" w:rsidP="00093C45">
            <w:pPr>
              <w:pStyle w:val="ListParagraph"/>
              <w:ind w:left="360"/>
            </w:pPr>
            <w:r w:rsidRPr="00093C45">
              <w:t>25000</w:t>
            </w:r>
          </w:p>
        </w:tc>
        <w:tc>
          <w:tcPr>
            <w:tcW w:w="851" w:type="dxa"/>
            <w:shd w:val="clear" w:color="auto" w:fill="BDD6EE" w:themeFill="accent1" w:themeFillTint="66"/>
            <w:noWrap/>
            <w:hideMark/>
          </w:tcPr>
          <w:p w14:paraId="54527A0E" w14:textId="77777777" w:rsidR="008F1A5E" w:rsidRPr="00093C45" w:rsidRDefault="008F1A5E" w:rsidP="00093C45">
            <w:r>
              <w:t>$</w:t>
            </w:r>
            <w:r w:rsidRPr="00093C45">
              <w:t xml:space="preserve">3.20 </w:t>
            </w:r>
          </w:p>
        </w:tc>
        <w:tc>
          <w:tcPr>
            <w:tcW w:w="1052" w:type="dxa"/>
            <w:shd w:val="clear" w:color="auto" w:fill="FFE599" w:themeFill="accent4" w:themeFillTint="66"/>
          </w:tcPr>
          <w:p w14:paraId="7B2149B8" w14:textId="77777777" w:rsidR="008F1A5E" w:rsidRPr="00093C45" w:rsidRDefault="008F1A5E" w:rsidP="00093C45">
            <w:r>
              <w:t>$700</w:t>
            </w:r>
          </w:p>
        </w:tc>
        <w:tc>
          <w:tcPr>
            <w:tcW w:w="1085" w:type="dxa"/>
            <w:shd w:val="clear" w:color="auto" w:fill="FFE599" w:themeFill="accent4" w:themeFillTint="66"/>
          </w:tcPr>
          <w:p w14:paraId="4716017E" w14:textId="77777777" w:rsidR="008F1A5E" w:rsidRPr="00093C45" w:rsidRDefault="008F1A5E" w:rsidP="00093C45">
            <w:r>
              <w:t>$150</w:t>
            </w:r>
          </w:p>
        </w:tc>
        <w:tc>
          <w:tcPr>
            <w:tcW w:w="862" w:type="dxa"/>
            <w:shd w:val="clear" w:color="auto" w:fill="FFE599" w:themeFill="accent4" w:themeFillTint="66"/>
          </w:tcPr>
          <w:p w14:paraId="32441D1C" w14:textId="77777777" w:rsidR="008F1A5E" w:rsidRPr="00093C45" w:rsidRDefault="008F1A5E" w:rsidP="00093C45">
            <w:r>
              <w:t>$2500</w:t>
            </w:r>
          </w:p>
        </w:tc>
        <w:tc>
          <w:tcPr>
            <w:tcW w:w="1677" w:type="dxa"/>
            <w:shd w:val="clear" w:color="auto" w:fill="C5E0B3" w:themeFill="accent6" w:themeFillTint="66"/>
          </w:tcPr>
          <w:p w14:paraId="7A1D88F2" w14:textId="77777777" w:rsidR="008F1A5E" w:rsidRDefault="008F1A5E" w:rsidP="00093C45">
            <w:r>
              <w:t>500</w:t>
            </w:r>
          </w:p>
        </w:tc>
      </w:tr>
      <w:tr w:rsidR="008F1A5E" w:rsidRPr="00093C45" w14:paraId="17112DE1" w14:textId="77777777" w:rsidTr="008F1A5E">
        <w:trPr>
          <w:trHeight w:val="300"/>
          <w:jc w:val="center"/>
        </w:trPr>
        <w:tc>
          <w:tcPr>
            <w:tcW w:w="1573" w:type="dxa"/>
            <w:shd w:val="clear" w:color="auto" w:fill="BDD6EE" w:themeFill="accent1" w:themeFillTint="66"/>
            <w:noWrap/>
            <w:hideMark/>
          </w:tcPr>
          <w:p w14:paraId="70062AE8" w14:textId="77777777" w:rsidR="008F1A5E" w:rsidRPr="00093C45" w:rsidRDefault="008F1A5E" w:rsidP="00093C45">
            <w:r w:rsidRPr="00093C45">
              <w:t>SPSS</w:t>
            </w:r>
          </w:p>
        </w:tc>
        <w:tc>
          <w:tcPr>
            <w:tcW w:w="1400" w:type="dxa"/>
            <w:shd w:val="clear" w:color="auto" w:fill="BDD6EE" w:themeFill="accent1" w:themeFillTint="66"/>
            <w:noWrap/>
            <w:hideMark/>
          </w:tcPr>
          <w:p w14:paraId="37A8EBE3" w14:textId="77777777" w:rsidR="008F1A5E" w:rsidRPr="00093C45" w:rsidRDefault="008F1A5E" w:rsidP="00093C45">
            <w:r>
              <w:t>$90,000</w:t>
            </w:r>
          </w:p>
        </w:tc>
        <w:tc>
          <w:tcPr>
            <w:tcW w:w="1134" w:type="dxa"/>
            <w:shd w:val="clear" w:color="auto" w:fill="BDD6EE" w:themeFill="accent1" w:themeFillTint="66"/>
            <w:noWrap/>
            <w:hideMark/>
          </w:tcPr>
          <w:p w14:paraId="666E22A1" w14:textId="77777777" w:rsidR="008F1A5E" w:rsidRPr="00093C45" w:rsidRDefault="008F1A5E" w:rsidP="00093C45">
            <w:pPr>
              <w:pStyle w:val="ListParagraph"/>
              <w:ind w:left="360"/>
            </w:pPr>
            <w:r w:rsidRPr="00093C45">
              <w:t>25000</w:t>
            </w:r>
          </w:p>
        </w:tc>
        <w:tc>
          <w:tcPr>
            <w:tcW w:w="851" w:type="dxa"/>
            <w:shd w:val="clear" w:color="auto" w:fill="BDD6EE" w:themeFill="accent1" w:themeFillTint="66"/>
            <w:noWrap/>
            <w:hideMark/>
          </w:tcPr>
          <w:p w14:paraId="2A33590D" w14:textId="77777777" w:rsidR="008F1A5E" w:rsidRPr="00093C45" w:rsidRDefault="008F1A5E" w:rsidP="00093C45">
            <w:r>
              <w:t>$</w:t>
            </w:r>
            <w:r w:rsidRPr="00093C45">
              <w:t xml:space="preserve">3.60 </w:t>
            </w:r>
          </w:p>
        </w:tc>
        <w:tc>
          <w:tcPr>
            <w:tcW w:w="1052" w:type="dxa"/>
            <w:shd w:val="clear" w:color="auto" w:fill="FFE599" w:themeFill="accent4" w:themeFillTint="66"/>
          </w:tcPr>
          <w:p w14:paraId="0EEC040B" w14:textId="77777777" w:rsidR="008F1A5E" w:rsidRPr="00093C45" w:rsidRDefault="008F1A5E" w:rsidP="00093C45">
            <w:r>
              <w:t>$300</w:t>
            </w:r>
          </w:p>
        </w:tc>
        <w:tc>
          <w:tcPr>
            <w:tcW w:w="1085" w:type="dxa"/>
            <w:shd w:val="clear" w:color="auto" w:fill="FFE599" w:themeFill="accent4" w:themeFillTint="66"/>
          </w:tcPr>
          <w:p w14:paraId="0F63D5F1" w14:textId="77777777" w:rsidR="008F1A5E" w:rsidRPr="00093C45" w:rsidRDefault="008F1A5E" w:rsidP="00093C45">
            <w:r>
              <w:t>$150</w:t>
            </w:r>
          </w:p>
        </w:tc>
        <w:tc>
          <w:tcPr>
            <w:tcW w:w="862" w:type="dxa"/>
            <w:shd w:val="clear" w:color="auto" w:fill="FFE599" w:themeFill="accent4" w:themeFillTint="66"/>
          </w:tcPr>
          <w:p w14:paraId="04133E05" w14:textId="77777777" w:rsidR="008F1A5E" w:rsidRPr="00093C45" w:rsidRDefault="008F1A5E" w:rsidP="00093C45">
            <w:r>
              <w:t>$2500</w:t>
            </w:r>
          </w:p>
        </w:tc>
        <w:tc>
          <w:tcPr>
            <w:tcW w:w="1677" w:type="dxa"/>
            <w:shd w:val="clear" w:color="auto" w:fill="C5E0B3" w:themeFill="accent6" w:themeFillTint="66"/>
          </w:tcPr>
          <w:p w14:paraId="713EF385" w14:textId="77777777" w:rsidR="008F1A5E" w:rsidRDefault="008F1A5E" w:rsidP="00093C45">
            <w:r>
              <w:t>300</w:t>
            </w:r>
          </w:p>
        </w:tc>
      </w:tr>
      <w:tr w:rsidR="008F1A5E" w:rsidRPr="00093C45" w14:paraId="058FBBCC" w14:textId="77777777" w:rsidTr="008F1A5E">
        <w:trPr>
          <w:trHeight w:val="300"/>
          <w:jc w:val="center"/>
        </w:trPr>
        <w:tc>
          <w:tcPr>
            <w:tcW w:w="1573" w:type="dxa"/>
            <w:shd w:val="clear" w:color="auto" w:fill="BDD6EE" w:themeFill="accent1" w:themeFillTint="66"/>
            <w:noWrap/>
            <w:hideMark/>
          </w:tcPr>
          <w:p w14:paraId="0919CE42" w14:textId="77777777" w:rsidR="008F1A5E" w:rsidRPr="00093C45" w:rsidRDefault="008F1A5E" w:rsidP="00093C45">
            <w:r w:rsidRPr="00093C45">
              <w:t>ArcGIS</w:t>
            </w:r>
          </w:p>
        </w:tc>
        <w:tc>
          <w:tcPr>
            <w:tcW w:w="1400" w:type="dxa"/>
            <w:shd w:val="clear" w:color="auto" w:fill="BDD6EE" w:themeFill="accent1" w:themeFillTint="66"/>
            <w:noWrap/>
            <w:hideMark/>
          </w:tcPr>
          <w:p w14:paraId="3E0A7253" w14:textId="77777777" w:rsidR="008F1A5E" w:rsidRPr="00093C45" w:rsidRDefault="008F1A5E" w:rsidP="00093C45">
            <w:r>
              <w:t>$</w:t>
            </w:r>
            <w:r w:rsidRPr="00093C45">
              <w:t>25</w:t>
            </w:r>
            <w:r>
              <w:t>,000</w:t>
            </w:r>
          </w:p>
        </w:tc>
        <w:tc>
          <w:tcPr>
            <w:tcW w:w="1134" w:type="dxa"/>
            <w:shd w:val="clear" w:color="auto" w:fill="BDD6EE" w:themeFill="accent1" w:themeFillTint="66"/>
            <w:noWrap/>
            <w:hideMark/>
          </w:tcPr>
          <w:p w14:paraId="31D0A468" w14:textId="77777777" w:rsidR="008F1A5E" w:rsidRPr="00093C45" w:rsidRDefault="008F1A5E" w:rsidP="00093C45">
            <w:pPr>
              <w:pStyle w:val="ListParagraph"/>
              <w:ind w:left="360"/>
            </w:pPr>
            <w:r w:rsidRPr="00093C45">
              <w:t>25000</w:t>
            </w:r>
          </w:p>
        </w:tc>
        <w:tc>
          <w:tcPr>
            <w:tcW w:w="851" w:type="dxa"/>
            <w:shd w:val="clear" w:color="auto" w:fill="BDD6EE" w:themeFill="accent1" w:themeFillTint="66"/>
            <w:noWrap/>
            <w:hideMark/>
          </w:tcPr>
          <w:p w14:paraId="2C4003D9" w14:textId="77777777" w:rsidR="008F1A5E" w:rsidRPr="00093C45" w:rsidRDefault="008F1A5E" w:rsidP="00093C45">
            <w:r>
              <w:t>$</w:t>
            </w:r>
            <w:r w:rsidRPr="00093C45">
              <w:t xml:space="preserve">1.00 </w:t>
            </w:r>
          </w:p>
        </w:tc>
        <w:tc>
          <w:tcPr>
            <w:tcW w:w="1052" w:type="dxa"/>
            <w:shd w:val="clear" w:color="auto" w:fill="FFE599" w:themeFill="accent4" w:themeFillTint="66"/>
          </w:tcPr>
          <w:p w14:paraId="2EE05C0C" w14:textId="77777777" w:rsidR="008F1A5E" w:rsidRPr="00093C45" w:rsidRDefault="008F1A5E" w:rsidP="00093C45">
            <w:r>
              <w:t>$2700</w:t>
            </w:r>
          </w:p>
        </w:tc>
        <w:tc>
          <w:tcPr>
            <w:tcW w:w="1085" w:type="dxa"/>
            <w:shd w:val="clear" w:color="auto" w:fill="FFE599" w:themeFill="accent4" w:themeFillTint="66"/>
          </w:tcPr>
          <w:p w14:paraId="70380562" w14:textId="77777777" w:rsidR="008F1A5E" w:rsidRPr="00093C45" w:rsidRDefault="008F1A5E" w:rsidP="00093C45">
            <w:r>
              <w:t>$150</w:t>
            </w:r>
          </w:p>
        </w:tc>
        <w:tc>
          <w:tcPr>
            <w:tcW w:w="862" w:type="dxa"/>
            <w:shd w:val="clear" w:color="auto" w:fill="FFE599" w:themeFill="accent4" w:themeFillTint="66"/>
          </w:tcPr>
          <w:p w14:paraId="30337651" w14:textId="77777777" w:rsidR="008F1A5E" w:rsidRPr="00093C45" w:rsidRDefault="008F1A5E" w:rsidP="00093C45">
            <w:r>
              <w:t>$7000</w:t>
            </w:r>
          </w:p>
        </w:tc>
        <w:tc>
          <w:tcPr>
            <w:tcW w:w="1677" w:type="dxa"/>
            <w:shd w:val="clear" w:color="auto" w:fill="C5E0B3" w:themeFill="accent6" w:themeFillTint="66"/>
          </w:tcPr>
          <w:p w14:paraId="414EC2B0" w14:textId="77777777" w:rsidR="008F1A5E" w:rsidRDefault="008F1A5E" w:rsidP="00093C45">
            <w:r>
              <w:t>4 Departments</w:t>
            </w:r>
          </w:p>
        </w:tc>
      </w:tr>
      <w:tr w:rsidR="008F1A5E" w:rsidRPr="00093C45" w14:paraId="12B2BBB7" w14:textId="77777777" w:rsidTr="008F1A5E">
        <w:trPr>
          <w:trHeight w:val="300"/>
          <w:jc w:val="center"/>
        </w:trPr>
        <w:tc>
          <w:tcPr>
            <w:tcW w:w="1573" w:type="dxa"/>
            <w:shd w:val="clear" w:color="auto" w:fill="BDD6EE" w:themeFill="accent1" w:themeFillTint="66"/>
            <w:noWrap/>
            <w:hideMark/>
          </w:tcPr>
          <w:p w14:paraId="76243D20" w14:textId="77777777" w:rsidR="008F1A5E" w:rsidRPr="00093C45" w:rsidRDefault="008F1A5E" w:rsidP="00093C45">
            <w:r w:rsidRPr="00093C45">
              <w:t>Maple</w:t>
            </w:r>
          </w:p>
        </w:tc>
        <w:tc>
          <w:tcPr>
            <w:tcW w:w="1400" w:type="dxa"/>
            <w:shd w:val="clear" w:color="auto" w:fill="BDD6EE" w:themeFill="accent1" w:themeFillTint="66"/>
            <w:noWrap/>
            <w:hideMark/>
          </w:tcPr>
          <w:p w14:paraId="6749E16B" w14:textId="77777777" w:rsidR="008F1A5E" w:rsidRPr="00093C45" w:rsidRDefault="008F1A5E" w:rsidP="00093C45">
            <w:r>
              <w:t>$12,000</w:t>
            </w:r>
          </w:p>
        </w:tc>
        <w:tc>
          <w:tcPr>
            <w:tcW w:w="1134" w:type="dxa"/>
            <w:shd w:val="clear" w:color="auto" w:fill="BDD6EE" w:themeFill="accent1" w:themeFillTint="66"/>
            <w:noWrap/>
            <w:hideMark/>
          </w:tcPr>
          <w:p w14:paraId="1859BC30" w14:textId="77777777" w:rsidR="008F1A5E" w:rsidRPr="00093C45" w:rsidRDefault="008F1A5E" w:rsidP="00093C45">
            <w:pPr>
              <w:pStyle w:val="ListParagraph"/>
              <w:ind w:left="360"/>
            </w:pPr>
            <w:r w:rsidRPr="00093C45">
              <w:t>25000</w:t>
            </w:r>
          </w:p>
        </w:tc>
        <w:tc>
          <w:tcPr>
            <w:tcW w:w="851" w:type="dxa"/>
            <w:shd w:val="clear" w:color="auto" w:fill="BDD6EE" w:themeFill="accent1" w:themeFillTint="66"/>
            <w:noWrap/>
            <w:hideMark/>
          </w:tcPr>
          <w:p w14:paraId="459529A5" w14:textId="77777777" w:rsidR="008F1A5E" w:rsidRPr="00093C45" w:rsidRDefault="008F1A5E" w:rsidP="00093C45">
            <w:r>
              <w:t>$</w:t>
            </w:r>
            <w:r w:rsidRPr="00093C45">
              <w:t xml:space="preserve">0.48 </w:t>
            </w:r>
          </w:p>
        </w:tc>
        <w:tc>
          <w:tcPr>
            <w:tcW w:w="1052" w:type="dxa"/>
            <w:shd w:val="clear" w:color="auto" w:fill="FFE599" w:themeFill="accent4" w:themeFillTint="66"/>
          </w:tcPr>
          <w:p w14:paraId="066B7F3A" w14:textId="77777777" w:rsidR="008F1A5E" w:rsidRPr="00093C45" w:rsidRDefault="008F1A5E" w:rsidP="00093C45">
            <w:r>
              <w:t>$1000</w:t>
            </w:r>
          </w:p>
        </w:tc>
        <w:tc>
          <w:tcPr>
            <w:tcW w:w="1085" w:type="dxa"/>
            <w:shd w:val="clear" w:color="auto" w:fill="FFE599" w:themeFill="accent4" w:themeFillTint="66"/>
          </w:tcPr>
          <w:p w14:paraId="64FC9734" w14:textId="77777777" w:rsidR="008F1A5E" w:rsidRPr="00093C45" w:rsidRDefault="008F1A5E" w:rsidP="00093C45">
            <w:r>
              <w:t>$150</w:t>
            </w:r>
          </w:p>
        </w:tc>
        <w:tc>
          <w:tcPr>
            <w:tcW w:w="862" w:type="dxa"/>
            <w:shd w:val="clear" w:color="auto" w:fill="FFE599" w:themeFill="accent4" w:themeFillTint="66"/>
          </w:tcPr>
          <w:p w14:paraId="49419C80" w14:textId="77777777" w:rsidR="008F1A5E" w:rsidRPr="00093C45" w:rsidRDefault="008F1A5E" w:rsidP="00093C45">
            <w:r>
              <w:t>$2275</w:t>
            </w:r>
          </w:p>
        </w:tc>
        <w:tc>
          <w:tcPr>
            <w:tcW w:w="1677" w:type="dxa"/>
            <w:shd w:val="clear" w:color="auto" w:fill="C5E0B3" w:themeFill="accent6" w:themeFillTint="66"/>
          </w:tcPr>
          <w:p w14:paraId="751DC8F1" w14:textId="77777777" w:rsidR="008F1A5E" w:rsidRDefault="008F1A5E" w:rsidP="00093C45">
            <w:r>
              <w:t>N/A</w:t>
            </w:r>
          </w:p>
        </w:tc>
      </w:tr>
      <w:tr w:rsidR="008F1A5E" w:rsidRPr="00093C45" w14:paraId="12E79629" w14:textId="77777777" w:rsidTr="008F1A5E">
        <w:trPr>
          <w:trHeight w:val="300"/>
          <w:jc w:val="center"/>
        </w:trPr>
        <w:tc>
          <w:tcPr>
            <w:tcW w:w="1573" w:type="dxa"/>
            <w:shd w:val="clear" w:color="auto" w:fill="BDD6EE" w:themeFill="accent1" w:themeFillTint="66"/>
            <w:noWrap/>
            <w:hideMark/>
          </w:tcPr>
          <w:p w14:paraId="6DD82030" w14:textId="77777777" w:rsidR="008F1A5E" w:rsidRPr="00093C45" w:rsidRDefault="008F1A5E" w:rsidP="00093C45">
            <w:r w:rsidRPr="00093C45">
              <w:t>SAS</w:t>
            </w:r>
          </w:p>
        </w:tc>
        <w:tc>
          <w:tcPr>
            <w:tcW w:w="1400" w:type="dxa"/>
            <w:shd w:val="clear" w:color="auto" w:fill="BDD6EE" w:themeFill="accent1" w:themeFillTint="66"/>
            <w:noWrap/>
            <w:hideMark/>
          </w:tcPr>
          <w:p w14:paraId="1757C0EF" w14:textId="77777777" w:rsidR="008F1A5E" w:rsidRPr="00093C45" w:rsidRDefault="008F1A5E" w:rsidP="00093C45">
            <w:r>
              <w:t>$</w:t>
            </w:r>
            <w:r w:rsidRPr="00093C45">
              <w:t>7,000</w:t>
            </w:r>
          </w:p>
        </w:tc>
        <w:tc>
          <w:tcPr>
            <w:tcW w:w="1134" w:type="dxa"/>
            <w:shd w:val="clear" w:color="auto" w:fill="BDD6EE" w:themeFill="accent1" w:themeFillTint="66"/>
            <w:noWrap/>
            <w:hideMark/>
          </w:tcPr>
          <w:p w14:paraId="1C914F18" w14:textId="77777777" w:rsidR="008F1A5E" w:rsidRPr="00093C45" w:rsidRDefault="008F1A5E" w:rsidP="00093C45">
            <w:pPr>
              <w:pStyle w:val="ListParagraph"/>
              <w:ind w:left="360"/>
            </w:pPr>
            <w:r w:rsidRPr="00093C45">
              <w:t>25000</w:t>
            </w:r>
          </w:p>
        </w:tc>
        <w:tc>
          <w:tcPr>
            <w:tcW w:w="851" w:type="dxa"/>
            <w:shd w:val="clear" w:color="auto" w:fill="BDD6EE" w:themeFill="accent1" w:themeFillTint="66"/>
            <w:noWrap/>
            <w:hideMark/>
          </w:tcPr>
          <w:p w14:paraId="0D93FD06" w14:textId="77777777" w:rsidR="008F1A5E" w:rsidRPr="00093C45" w:rsidRDefault="008F1A5E" w:rsidP="00093C45">
            <w:r>
              <w:t>$</w:t>
            </w:r>
            <w:r w:rsidRPr="00093C45">
              <w:t xml:space="preserve">0.28 </w:t>
            </w:r>
          </w:p>
        </w:tc>
        <w:tc>
          <w:tcPr>
            <w:tcW w:w="1052" w:type="dxa"/>
            <w:shd w:val="clear" w:color="auto" w:fill="FFE599" w:themeFill="accent4" w:themeFillTint="66"/>
          </w:tcPr>
          <w:p w14:paraId="015E9697" w14:textId="77777777" w:rsidR="008F1A5E" w:rsidRPr="00093C45" w:rsidRDefault="008F1A5E" w:rsidP="00093C45">
            <w:r>
              <w:t>$500</w:t>
            </w:r>
          </w:p>
        </w:tc>
        <w:tc>
          <w:tcPr>
            <w:tcW w:w="1085" w:type="dxa"/>
            <w:shd w:val="clear" w:color="auto" w:fill="FFE599" w:themeFill="accent4" w:themeFillTint="66"/>
          </w:tcPr>
          <w:p w14:paraId="24C3D64E" w14:textId="77777777" w:rsidR="008F1A5E" w:rsidRPr="00093C45" w:rsidRDefault="008F1A5E" w:rsidP="00093C45">
            <w:r>
              <w:t>N/C</w:t>
            </w:r>
          </w:p>
        </w:tc>
        <w:tc>
          <w:tcPr>
            <w:tcW w:w="862" w:type="dxa"/>
            <w:shd w:val="clear" w:color="auto" w:fill="FFE599" w:themeFill="accent4" w:themeFillTint="66"/>
          </w:tcPr>
          <w:p w14:paraId="080131B4" w14:textId="77777777" w:rsidR="008F1A5E" w:rsidRPr="00093C45" w:rsidRDefault="008F1A5E" w:rsidP="00093C45">
            <w:r>
              <w:t>$1500</w:t>
            </w:r>
          </w:p>
        </w:tc>
        <w:tc>
          <w:tcPr>
            <w:tcW w:w="1677" w:type="dxa"/>
            <w:shd w:val="clear" w:color="auto" w:fill="C5E0B3" w:themeFill="accent6" w:themeFillTint="66"/>
          </w:tcPr>
          <w:p w14:paraId="30DC6A52" w14:textId="77777777" w:rsidR="008F1A5E" w:rsidRDefault="008F1A5E" w:rsidP="00093C45">
            <w:r>
              <w:t>34</w:t>
            </w:r>
          </w:p>
        </w:tc>
      </w:tr>
    </w:tbl>
    <w:p w14:paraId="59784DDD" w14:textId="77777777" w:rsidR="004D0A71" w:rsidRDefault="004D0A71" w:rsidP="000A3D88">
      <w:pPr>
        <w:spacing w:line="240" w:lineRule="auto"/>
      </w:pPr>
    </w:p>
    <w:p w14:paraId="54BD8DE9" w14:textId="0FFC57C4" w:rsidR="008F1A5E" w:rsidRPr="008F1A5E" w:rsidRDefault="008F1A5E" w:rsidP="005E47C4">
      <w:pPr>
        <w:spacing w:line="240" w:lineRule="auto"/>
      </w:pPr>
      <w:r>
        <w:t xml:space="preserve">While each license is used by a different combination of Faculty, Staff and Students, some titles have a specific user base and </w:t>
      </w:r>
      <w:r w:rsidR="005A52FE">
        <w:t>can</w:t>
      </w:r>
      <w:r>
        <w:t xml:space="preserve"> be at the cost per user level, based on volume. </w:t>
      </w:r>
      <w:r w:rsidR="000A3D88">
        <w:t xml:space="preserve">As an example, </w:t>
      </w:r>
      <w:r w:rsidR="00A2413F">
        <w:t>MatLab</w:t>
      </w:r>
      <w:r w:rsidR="000A3D88">
        <w:t xml:space="preserve"> is used by 500 </w:t>
      </w:r>
      <w:r w:rsidR="00A2413F">
        <w:t xml:space="preserve">faculty on campus. At the individual rate (without a centrally managed purchase and distribution </w:t>
      </w:r>
      <w:r w:rsidR="00A2413F">
        <w:lastRenderedPageBreak/>
        <w:t xml:space="preserve">process) this title alone would cost Queen’s $350,000. SPSS is used by 409 Faculty, which at individual pricing would total $122,700. SAS has 28 Faculty and 6 Staff users, totaling $23,000. </w:t>
      </w:r>
    </w:p>
    <w:p w14:paraId="06FA0461" w14:textId="0D70AF0F" w:rsidR="004D0A71" w:rsidRPr="006716BE" w:rsidRDefault="004D0A71" w:rsidP="005E47C4">
      <w:pPr>
        <w:pStyle w:val="ListParagraph"/>
        <w:spacing w:line="240" w:lineRule="auto"/>
        <w:ind w:left="0"/>
        <w:rPr>
          <w:b/>
        </w:rPr>
      </w:pPr>
      <w:r w:rsidRPr="006716BE">
        <w:rPr>
          <w:b/>
        </w:rPr>
        <w:t>Risks</w:t>
      </w:r>
      <w:r w:rsidR="006716BE" w:rsidRPr="006716BE">
        <w:rPr>
          <w:b/>
        </w:rPr>
        <w:t>:</w:t>
      </w:r>
      <w:r w:rsidR="006716BE">
        <w:rPr>
          <w:b/>
        </w:rPr>
        <w:t xml:space="preserve"> </w:t>
      </w:r>
      <w:r w:rsidR="006716BE" w:rsidRPr="006716BE">
        <w:t>No</w:t>
      </w:r>
      <w:r w:rsidR="006716BE">
        <w:t xml:space="preserve">t all software will be </w:t>
      </w:r>
      <w:r w:rsidR="00F76AD0">
        <w:t>offered at an enterprise level, requiring some area</w:t>
      </w:r>
      <w:r w:rsidR="00D769FA">
        <w:t>s</w:t>
      </w:r>
      <w:r w:rsidR="00F76AD0">
        <w:t xml:space="preserve"> to manage their own software licenses. This may in fact prove to be a positive driver that will facilitate the review of “local license management” and its true cost, versus the adop</w:t>
      </w:r>
      <w:r w:rsidR="00454F63">
        <w:t xml:space="preserve">tion of an enterprise solution. </w:t>
      </w:r>
      <w:r w:rsidR="0091183C">
        <w:t xml:space="preserve">For some licenses, the shift from an external research funding source to an internal operational funding source will affect the budgets of some departments. </w:t>
      </w:r>
    </w:p>
    <w:p w14:paraId="4086C3D2" w14:textId="77777777" w:rsidR="004D0A71" w:rsidRDefault="004D0A71" w:rsidP="004D0A71">
      <w:pPr>
        <w:pStyle w:val="ListParagraph"/>
        <w:spacing w:line="240" w:lineRule="auto"/>
        <w:ind w:left="360"/>
      </w:pPr>
    </w:p>
    <w:p w14:paraId="0D132D2D" w14:textId="77777777" w:rsidR="009D0A15" w:rsidRPr="009D0A15" w:rsidRDefault="009247F2" w:rsidP="00035382">
      <w:pPr>
        <w:pStyle w:val="Heading2"/>
        <w:numPr>
          <w:ilvl w:val="1"/>
          <w:numId w:val="24"/>
        </w:numPr>
        <w:spacing w:line="240" w:lineRule="auto"/>
      </w:pPr>
      <w:bookmarkStart w:id="20" w:name="_Toc469383403"/>
      <w:r>
        <w:t>– Support Tier 2</w:t>
      </w:r>
      <w:r w:rsidR="00F92BD7">
        <w:t xml:space="preserve"> Software Licenses </w:t>
      </w:r>
      <w:r w:rsidR="0096668D">
        <w:t xml:space="preserve">only </w:t>
      </w:r>
      <w:r w:rsidR="00552293">
        <w:t>(Networked Model)</w:t>
      </w:r>
      <w:bookmarkEnd w:id="20"/>
    </w:p>
    <w:p w14:paraId="33B8E1AD" w14:textId="77777777" w:rsidR="009247F2" w:rsidRDefault="009247F2" w:rsidP="00C365C6">
      <w:pPr>
        <w:spacing w:line="240" w:lineRule="auto"/>
        <w:ind w:left="360"/>
        <w:rPr>
          <w:b/>
        </w:rPr>
      </w:pPr>
    </w:p>
    <w:p w14:paraId="56B68AE1" w14:textId="77777777" w:rsidR="009D0A15" w:rsidRPr="00691857" w:rsidRDefault="00C365C6" w:rsidP="005E47C4">
      <w:pPr>
        <w:spacing w:line="240" w:lineRule="auto"/>
        <w:rPr>
          <w:b/>
        </w:rPr>
      </w:pPr>
      <w:r w:rsidRPr="00691857">
        <w:rPr>
          <w:b/>
        </w:rPr>
        <w:t>ITS would facilitate the procurement and distribution of software titles</w:t>
      </w:r>
      <w:r w:rsidR="00691857" w:rsidRPr="00691857">
        <w:rPr>
          <w:b/>
        </w:rPr>
        <w:t>,</w:t>
      </w:r>
      <w:r w:rsidR="009247F2">
        <w:rPr>
          <w:b/>
        </w:rPr>
        <w:t xml:space="preserve"> and distribute using a chargeback model that would allow for the recovery of the software cost and staffing resources required to manage the licenses.</w:t>
      </w:r>
    </w:p>
    <w:p w14:paraId="33FABC32" w14:textId="27FAEA96" w:rsidR="009D0A15" w:rsidRDefault="00717161" w:rsidP="00DE3CCD">
      <w:pPr>
        <w:pStyle w:val="ListParagraph"/>
        <w:numPr>
          <w:ilvl w:val="0"/>
          <w:numId w:val="12"/>
        </w:numPr>
        <w:spacing w:line="240" w:lineRule="auto"/>
      </w:pPr>
      <w:r>
        <w:t>SLM</w:t>
      </w:r>
      <w:r w:rsidR="00D769FA">
        <w:t xml:space="preserve"> service</w:t>
      </w:r>
      <w:r>
        <w:t xml:space="preserve"> </w:t>
      </w:r>
      <w:r w:rsidR="009D0A15">
        <w:t xml:space="preserve">offered through ITS </w:t>
      </w:r>
      <w:r w:rsidR="005A52FE">
        <w:t>to manage software</w:t>
      </w:r>
      <w:r w:rsidR="009D0A15">
        <w:t xml:space="preserve"> titles requested by groups requiring assistance with the </w:t>
      </w:r>
      <w:r>
        <w:t>procurement, management and distribution of software. The SLM would provide:</w:t>
      </w:r>
    </w:p>
    <w:p w14:paraId="35129791" w14:textId="77777777" w:rsidR="009D0A15" w:rsidRDefault="00717161" w:rsidP="00DE3CCD">
      <w:pPr>
        <w:pStyle w:val="ListParagraph"/>
        <w:numPr>
          <w:ilvl w:val="1"/>
          <w:numId w:val="12"/>
        </w:numPr>
        <w:spacing w:line="240" w:lineRule="auto"/>
      </w:pPr>
      <w:r>
        <w:t>Procurement support</w:t>
      </w:r>
    </w:p>
    <w:p w14:paraId="254D6181" w14:textId="7F95D242" w:rsidR="00717161" w:rsidRDefault="00717161" w:rsidP="00DE3CCD">
      <w:pPr>
        <w:pStyle w:val="ListParagraph"/>
        <w:numPr>
          <w:ilvl w:val="1"/>
          <w:numId w:val="12"/>
        </w:numPr>
        <w:spacing w:line="240" w:lineRule="auto"/>
      </w:pPr>
      <w:r>
        <w:t>A distribution model (either through por</w:t>
      </w:r>
      <w:r w:rsidR="009247F2">
        <w:t>tal, or outsourced service</w:t>
      </w:r>
      <w:r w:rsidR="00D769FA">
        <w:t>)</w:t>
      </w:r>
      <w:r w:rsidR="009247F2">
        <w:t>.</w:t>
      </w:r>
    </w:p>
    <w:p w14:paraId="24A264D0" w14:textId="77777777" w:rsidR="00717161" w:rsidRDefault="00717161" w:rsidP="00DE3CCD">
      <w:pPr>
        <w:pStyle w:val="ListParagraph"/>
        <w:numPr>
          <w:ilvl w:val="1"/>
          <w:numId w:val="12"/>
        </w:numPr>
        <w:spacing w:line="240" w:lineRule="auto"/>
      </w:pPr>
      <w:r>
        <w:t>End user billing</w:t>
      </w:r>
    </w:p>
    <w:p w14:paraId="050235F7" w14:textId="77777777" w:rsidR="00717161" w:rsidRDefault="00717161" w:rsidP="00DE3CCD">
      <w:pPr>
        <w:pStyle w:val="ListParagraph"/>
        <w:numPr>
          <w:ilvl w:val="1"/>
          <w:numId w:val="12"/>
        </w:numPr>
        <w:spacing w:line="240" w:lineRule="auto"/>
      </w:pPr>
      <w:r>
        <w:t>Renewal and maintenance support</w:t>
      </w:r>
    </w:p>
    <w:p w14:paraId="40DCF343" w14:textId="3C105295" w:rsidR="00C365C6" w:rsidRDefault="00717161" w:rsidP="00135F26">
      <w:pPr>
        <w:pStyle w:val="ListParagraph"/>
        <w:numPr>
          <w:ilvl w:val="0"/>
          <w:numId w:val="12"/>
        </w:numPr>
        <w:spacing w:line="240" w:lineRule="auto"/>
      </w:pPr>
      <w:r>
        <w:t xml:space="preserve">Service would require a cost recovery model on each software title that would fund the additional resources </w:t>
      </w:r>
      <w:r w:rsidR="00D769FA">
        <w:t xml:space="preserve">required </w:t>
      </w:r>
      <w:r>
        <w:t xml:space="preserve">to provide service including the cost of any </w:t>
      </w:r>
      <w:r w:rsidR="005A52FE">
        <w:t>third-party</w:t>
      </w:r>
      <w:r>
        <w:t xml:space="preserve"> </w:t>
      </w:r>
      <w:r w:rsidR="00D769FA">
        <w:t>software license d</w:t>
      </w:r>
      <w:r>
        <w:t>istribution service</w:t>
      </w:r>
      <w:r w:rsidR="009247F2">
        <w:t>.</w:t>
      </w:r>
    </w:p>
    <w:p w14:paraId="30F642B4" w14:textId="679DDA21" w:rsidR="006716BE" w:rsidRDefault="00B36C1F" w:rsidP="005E47C4">
      <w:pPr>
        <w:pStyle w:val="ListParagraph"/>
        <w:numPr>
          <w:ilvl w:val="0"/>
          <w:numId w:val="12"/>
        </w:numPr>
        <w:spacing w:line="240" w:lineRule="auto"/>
      </w:pPr>
      <w:r>
        <w:t xml:space="preserve">The cost </w:t>
      </w:r>
      <w:r w:rsidR="00D769FA">
        <w:t>recovery</w:t>
      </w:r>
      <w:r w:rsidR="005E47C4">
        <w:t xml:space="preserve"> </w:t>
      </w:r>
      <w:r>
        <w:t xml:space="preserve">would need to cover the funding of a dedicated FTE (approx. </w:t>
      </w:r>
      <w:r w:rsidR="0050006F">
        <w:t>$6</w:t>
      </w:r>
      <w:r>
        <w:t xml:space="preserve">0,000 annually) required to negotiate, manage, track, distribute and bill the software </w:t>
      </w:r>
      <w:r w:rsidR="0050006F">
        <w:t>amongst the departments and faculties who purchase the licenses for their staff and/or students.</w:t>
      </w:r>
    </w:p>
    <w:p w14:paraId="7269CF53" w14:textId="77777777" w:rsidR="006716BE" w:rsidRDefault="004D0A71" w:rsidP="004D0A71">
      <w:pPr>
        <w:spacing w:line="240" w:lineRule="auto"/>
      </w:pPr>
      <w:r w:rsidRPr="006716BE">
        <w:rPr>
          <w:b/>
        </w:rPr>
        <w:t>Benefits</w:t>
      </w:r>
      <w:r w:rsidR="006716BE" w:rsidRPr="006716BE">
        <w:rPr>
          <w:b/>
        </w:rPr>
        <w:t>:</w:t>
      </w:r>
      <w:r w:rsidR="006716BE">
        <w:t xml:space="preserve"> The only potential benefit of this option is that it provides flexibility to the departments, faculties and schools looking to use specialized software but do not want the administrative burden to manage the licenses. This comes with risk, and at a cost.</w:t>
      </w:r>
    </w:p>
    <w:p w14:paraId="60439E7C" w14:textId="7A6E8911" w:rsidR="004D0A71" w:rsidRDefault="004D0A71" w:rsidP="004D0A71">
      <w:pPr>
        <w:spacing w:line="240" w:lineRule="auto"/>
      </w:pPr>
      <w:r w:rsidRPr="006716BE">
        <w:rPr>
          <w:b/>
        </w:rPr>
        <w:t>Risks</w:t>
      </w:r>
      <w:r w:rsidR="006716BE" w:rsidRPr="006716BE">
        <w:rPr>
          <w:b/>
        </w:rPr>
        <w:t>:</w:t>
      </w:r>
      <w:r w:rsidR="006716BE">
        <w:t xml:space="preserve"> The “resale” model of software license management has already been tried, and lacked the ability to scale the needs to the university. In addition, the mark-up of resale of software as a distribution method creates a lack of transparency and inflated costs to the university as a result of the unnecessary duplication and cost of these internal transactions. </w:t>
      </w:r>
      <w:r w:rsidR="00BD25BA">
        <w:t>The solution does not scale as the need for additional FTEs will increase as the number of titles increase, thus driving up the internal mark-up required to maintain the service.</w:t>
      </w:r>
    </w:p>
    <w:p w14:paraId="7D8D5592" w14:textId="77716F9C" w:rsidR="006907CB" w:rsidRDefault="006907CB" w:rsidP="004D0A71">
      <w:pPr>
        <w:spacing w:line="240" w:lineRule="auto"/>
      </w:pPr>
    </w:p>
    <w:p w14:paraId="1D23D44A" w14:textId="77777777" w:rsidR="00F92BD7" w:rsidRDefault="00035382" w:rsidP="00DE3CCD">
      <w:pPr>
        <w:pStyle w:val="Heading2"/>
        <w:spacing w:line="240" w:lineRule="auto"/>
      </w:pPr>
      <w:bookmarkStart w:id="21" w:name="_Toc469383404"/>
      <w:r>
        <w:t>6.3</w:t>
      </w:r>
      <w:r w:rsidR="00F92BD7">
        <w:t xml:space="preserve"> – Adoption of fully Decentralized </w:t>
      </w:r>
      <w:r w:rsidR="00C365C6">
        <w:t xml:space="preserve">(Tier 1) </w:t>
      </w:r>
      <w:r w:rsidR="00F92BD7">
        <w:t xml:space="preserve">Software Licensing Model </w:t>
      </w:r>
      <w:r w:rsidR="0096668D">
        <w:t xml:space="preserve">only </w:t>
      </w:r>
      <w:r w:rsidR="00552293">
        <w:t>(Local)</w:t>
      </w:r>
      <w:bookmarkEnd w:id="21"/>
    </w:p>
    <w:p w14:paraId="0293DB2D" w14:textId="77777777" w:rsidR="00691857" w:rsidRDefault="00691857" w:rsidP="00691857">
      <w:pPr>
        <w:spacing w:line="240" w:lineRule="auto"/>
      </w:pPr>
    </w:p>
    <w:p w14:paraId="7D4BFAFA" w14:textId="77777777" w:rsidR="00691857" w:rsidRPr="005B21B4" w:rsidRDefault="00691857" w:rsidP="00691857">
      <w:pPr>
        <w:spacing w:line="240" w:lineRule="auto"/>
        <w:rPr>
          <w:b/>
        </w:rPr>
      </w:pPr>
      <w:r w:rsidRPr="005B21B4">
        <w:rPr>
          <w:b/>
        </w:rPr>
        <w:t>Software license manag</w:t>
      </w:r>
      <w:r w:rsidR="009247F2">
        <w:rPr>
          <w:b/>
        </w:rPr>
        <w:t>ement and procurement would become the responsibility of</w:t>
      </w:r>
      <w:r w:rsidRPr="005B21B4">
        <w:rPr>
          <w:b/>
        </w:rPr>
        <w:t xml:space="preserve"> the faculties, schools and departments</w:t>
      </w:r>
      <w:r w:rsidR="005B21B4" w:rsidRPr="005B21B4">
        <w:rPr>
          <w:b/>
        </w:rPr>
        <w:t>.</w:t>
      </w:r>
    </w:p>
    <w:p w14:paraId="66E83A69" w14:textId="2DC61B80" w:rsidR="005B21B4" w:rsidRDefault="00717161" w:rsidP="005B21B4">
      <w:pPr>
        <w:pStyle w:val="ListParagraph"/>
        <w:numPr>
          <w:ilvl w:val="0"/>
          <w:numId w:val="12"/>
        </w:numPr>
        <w:spacing w:line="240" w:lineRule="auto"/>
      </w:pPr>
      <w:r>
        <w:lastRenderedPageBreak/>
        <w:t xml:space="preserve">Software </w:t>
      </w:r>
      <w:r w:rsidR="00D769FA">
        <w:t>l</w:t>
      </w:r>
      <w:r>
        <w:t>icensing other tha</w:t>
      </w:r>
      <w:r w:rsidR="00881148">
        <w:t xml:space="preserve">n </w:t>
      </w:r>
      <w:r>
        <w:t xml:space="preserve">those currently </w:t>
      </w:r>
      <w:r w:rsidR="00552293">
        <w:t>supported and maintained by ITS would be the responsibility of the Faculty, School or Department who wishes to provide the software to its</w:t>
      </w:r>
      <w:r w:rsidR="005B21B4">
        <w:t xml:space="preserve"> faculty, staff and/or students.</w:t>
      </w:r>
    </w:p>
    <w:p w14:paraId="7615CD25" w14:textId="4C007CC8" w:rsidR="004D0A71" w:rsidRPr="00F76AD0" w:rsidRDefault="004D0A71" w:rsidP="004D0A71">
      <w:pPr>
        <w:spacing w:line="240" w:lineRule="auto"/>
        <w:rPr>
          <w:b/>
        </w:rPr>
      </w:pPr>
      <w:r w:rsidRPr="00F76AD0">
        <w:rPr>
          <w:b/>
        </w:rPr>
        <w:t>Benefits</w:t>
      </w:r>
      <w:r w:rsidR="00F76AD0">
        <w:rPr>
          <w:b/>
        </w:rPr>
        <w:t xml:space="preserve">: </w:t>
      </w:r>
      <w:r w:rsidR="00552483">
        <w:t>C</w:t>
      </w:r>
      <w:r w:rsidR="00552483" w:rsidRPr="00552483">
        <w:t xml:space="preserve">reates a level of transparency of what it </w:t>
      </w:r>
      <w:r w:rsidR="005A52FE">
        <w:t>costs</w:t>
      </w:r>
      <w:r w:rsidR="00552483" w:rsidRPr="00552483">
        <w:t xml:space="preserve"> </w:t>
      </w:r>
      <w:r w:rsidR="00552483">
        <w:t xml:space="preserve">a unit </w:t>
      </w:r>
      <w:r w:rsidR="00552483" w:rsidRPr="00552483">
        <w:t>to run a program</w:t>
      </w:r>
      <w:r w:rsidR="00552483">
        <w:t>, by including software fees in their budget</w:t>
      </w:r>
      <w:r w:rsidR="00552483" w:rsidRPr="00552483">
        <w:t>.</w:t>
      </w:r>
    </w:p>
    <w:p w14:paraId="3D6C0013" w14:textId="77777777" w:rsidR="00F92BD7" w:rsidRPr="00F76AD0" w:rsidRDefault="004D0A71" w:rsidP="004D0A71">
      <w:pPr>
        <w:spacing w:line="240" w:lineRule="auto"/>
        <w:rPr>
          <w:b/>
        </w:rPr>
      </w:pPr>
      <w:r w:rsidRPr="00F76AD0">
        <w:rPr>
          <w:b/>
        </w:rPr>
        <w:t>Risks</w:t>
      </w:r>
      <w:r w:rsidR="00F76AD0">
        <w:rPr>
          <w:b/>
        </w:rPr>
        <w:t xml:space="preserve">: </w:t>
      </w:r>
      <w:r w:rsidR="00F76AD0">
        <w:t>Dramatic increase in the cost of software will occur as economies of scale are lost. Lack of governance and management of such a distributed model will result in compliance issues stemming from restricted licenses needing to be tightly managed by staff not equipped to provide an appropriate level of control. Resources required for SLM will be duplicated across the institution, driving up costs further.</w:t>
      </w:r>
    </w:p>
    <w:p w14:paraId="734BA7A6" w14:textId="77777777" w:rsidR="00D80230" w:rsidRPr="003D1C51" w:rsidRDefault="00035382" w:rsidP="00DE3CCD">
      <w:pPr>
        <w:pStyle w:val="Heading1"/>
        <w:spacing w:line="240" w:lineRule="auto"/>
      </w:pPr>
      <w:bookmarkStart w:id="22" w:name="_Toc469383405"/>
      <w:r>
        <w:t>7</w:t>
      </w:r>
      <w:r w:rsidR="001E0112">
        <w:t xml:space="preserve"> - </w:t>
      </w:r>
      <w:r w:rsidR="00D80230" w:rsidRPr="003D1C51">
        <w:t>Conclusions</w:t>
      </w:r>
      <w:bookmarkEnd w:id="22"/>
    </w:p>
    <w:p w14:paraId="1046F263" w14:textId="77777777" w:rsidR="00A402E2" w:rsidRDefault="00A402E2" w:rsidP="00A402E2">
      <w:pPr>
        <w:spacing w:line="240" w:lineRule="auto"/>
        <w:rPr>
          <w:sz w:val="24"/>
          <w:szCs w:val="24"/>
        </w:rPr>
      </w:pPr>
    </w:p>
    <w:p w14:paraId="78100E33" w14:textId="3CB17258" w:rsidR="007C5E6B" w:rsidRPr="006907CB" w:rsidRDefault="006907CB" w:rsidP="0073464F">
      <w:pPr>
        <w:spacing w:line="240" w:lineRule="auto"/>
      </w:pPr>
      <w:r w:rsidRPr="006907CB">
        <w:rPr>
          <w:b/>
          <w:u w:val="single"/>
        </w:rPr>
        <w:t>Objective:</w:t>
      </w:r>
      <w:r>
        <w:t xml:space="preserve"> </w:t>
      </w:r>
      <w:r w:rsidR="00662B52" w:rsidRPr="00B321CE">
        <w:t>To identify and recommend a strategic direction or model for the identification of funding, licensing, and distribution of enterprise software where there exits the ability to realize cost savings, and to provide the essential</w:t>
      </w:r>
      <w:r w:rsidR="00662B52">
        <w:t xml:space="preserve"> tools needed for</w:t>
      </w:r>
      <w:r w:rsidR="00662B52" w:rsidRPr="003D1C51">
        <w:t xml:space="preserve"> </w:t>
      </w:r>
      <w:r w:rsidR="00662B52">
        <w:t xml:space="preserve">teaching, research </w:t>
      </w:r>
      <w:r w:rsidR="00347CD0">
        <w:t>and/</w:t>
      </w:r>
      <w:r w:rsidR="00662B52">
        <w:t>or administration at Queen’s University.</w:t>
      </w:r>
    </w:p>
    <w:p w14:paraId="0CCD8B0C" w14:textId="1ACD7325" w:rsidR="003767DD" w:rsidRPr="003767DD" w:rsidRDefault="006907CB" w:rsidP="0073464F">
      <w:pPr>
        <w:spacing w:line="240" w:lineRule="auto"/>
        <w:rPr>
          <w:b/>
          <w:szCs w:val="24"/>
        </w:rPr>
      </w:pPr>
      <w:r w:rsidRPr="006907CB">
        <w:rPr>
          <w:b/>
          <w:szCs w:val="24"/>
          <w:u w:val="single"/>
        </w:rPr>
        <w:t>Recommendation</w:t>
      </w:r>
      <w:r>
        <w:rPr>
          <w:b/>
          <w:szCs w:val="24"/>
        </w:rPr>
        <w:t xml:space="preserve">: </w:t>
      </w:r>
      <w:r w:rsidR="003767DD" w:rsidRPr="003767DD">
        <w:rPr>
          <w:b/>
          <w:szCs w:val="24"/>
        </w:rPr>
        <w:t xml:space="preserve">The recommended solution for SLM at Queen’s University is for ITS to manage </w:t>
      </w:r>
      <w:r w:rsidR="000910D6">
        <w:rPr>
          <w:b/>
          <w:szCs w:val="24"/>
        </w:rPr>
        <w:t xml:space="preserve">selected </w:t>
      </w:r>
      <w:r w:rsidR="003767DD" w:rsidRPr="003767DD">
        <w:rPr>
          <w:b/>
          <w:szCs w:val="24"/>
        </w:rPr>
        <w:t xml:space="preserve">enterprise wide software licenses and agreements, </w:t>
      </w:r>
      <w:r w:rsidR="000910D6">
        <w:rPr>
          <w:b/>
          <w:szCs w:val="24"/>
        </w:rPr>
        <w:t xml:space="preserve">software distribution through the Queen’s portal, </w:t>
      </w:r>
      <w:r w:rsidR="003767DD" w:rsidRPr="003767DD">
        <w:rPr>
          <w:b/>
          <w:szCs w:val="24"/>
        </w:rPr>
        <w:t xml:space="preserve">and </w:t>
      </w:r>
      <w:r w:rsidR="000910D6">
        <w:rPr>
          <w:b/>
          <w:szCs w:val="24"/>
        </w:rPr>
        <w:t xml:space="preserve">for </w:t>
      </w:r>
      <w:r w:rsidR="003767DD" w:rsidRPr="003767DD">
        <w:rPr>
          <w:b/>
          <w:szCs w:val="24"/>
        </w:rPr>
        <w:t>fund</w:t>
      </w:r>
      <w:r w:rsidR="000910D6">
        <w:rPr>
          <w:b/>
          <w:szCs w:val="24"/>
        </w:rPr>
        <w:t>ing of</w:t>
      </w:r>
      <w:r w:rsidR="003767DD" w:rsidRPr="003767DD">
        <w:rPr>
          <w:b/>
          <w:szCs w:val="24"/>
        </w:rPr>
        <w:t xml:space="preserve"> the enterprise software </w:t>
      </w:r>
      <w:r w:rsidR="000910D6">
        <w:rPr>
          <w:b/>
          <w:szCs w:val="24"/>
        </w:rPr>
        <w:t xml:space="preserve">to </w:t>
      </w:r>
      <w:r w:rsidR="003767DD" w:rsidRPr="003767DD">
        <w:rPr>
          <w:b/>
          <w:szCs w:val="24"/>
        </w:rPr>
        <w:t xml:space="preserve">be provided centrally </w:t>
      </w:r>
      <w:r w:rsidR="000910D6">
        <w:rPr>
          <w:b/>
          <w:szCs w:val="24"/>
        </w:rPr>
        <w:t>based on a governance model involving representation from various faculties, schools and department</w:t>
      </w:r>
      <w:r w:rsidR="003444DF">
        <w:rPr>
          <w:b/>
          <w:szCs w:val="24"/>
        </w:rPr>
        <w:t>s</w:t>
      </w:r>
      <w:r w:rsidR="000910D6">
        <w:rPr>
          <w:b/>
          <w:szCs w:val="24"/>
        </w:rPr>
        <w:t>.</w:t>
      </w:r>
    </w:p>
    <w:p w14:paraId="32B27D0E" w14:textId="7E7C7BBF" w:rsidR="006907CB" w:rsidRPr="006907CB" w:rsidRDefault="0073464F" w:rsidP="00A402E2">
      <w:pPr>
        <w:spacing w:line="240" w:lineRule="auto"/>
        <w:rPr>
          <w:szCs w:val="24"/>
        </w:rPr>
      </w:pPr>
      <w:r w:rsidRPr="0073464F">
        <w:rPr>
          <w:szCs w:val="24"/>
        </w:rPr>
        <w:t>Soft</w:t>
      </w:r>
      <w:r>
        <w:rPr>
          <w:szCs w:val="24"/>
        </w:rPr>
        <w:t>ware is</w:t>
      </w:r>
      <w:r w:rsidRPr="0073464F">
        <w:rPr>
          <w:szCs w:val="24"/>
        </w:rPr>
        <w:t xml:space="preserve"> core to the academic</w:t>
      </w:r>
      <w:r>
        <w:rPr>
          <w:szCs w:val="24"/>
        </w:rPr>
        <w:t>, administrative</w:t>
      </w:r>
      <w:r w:rsidRPr="0073464F">
        <w:rPr>
          <w:szCs w:val="24"/>
        </w:rPr>
        <w:t xml:space="preserve"> and research enterprise of the university. The substantial investments being made by the campus on hardware and networking infrastructure only have value when paired with software. </w:t>
      </w:r>
      <w:r>
        <w:rPr>
          <w:szCs w:val="24"/>
        </w:rPr>
        <w:t xml:space="preserve">Software </w:t>
      </w:r>
      <w:r w:rsidRPr="0073464F">
        <w:rPr>
          <w:szCs w:val="24"/>
        </w:rPr>
        <w:t xml:space="preserve">enables us to do the work of the university. Our ability to </w:t>
      </w:r>
      <w:r>
        <w:rPr>
          <w:szCs w:val="24"/>
        </w:rPr>
        <w:t>procure these tools in a cost-</w:t>
      </w:r>
      <w:r w:rsidRPr="0073464F">
        <w:rPr>
          <w:szCs w:val="24"/>
        </w:rPr>
        <w:t xml:space="preserve">efficient </w:t>
      </w:r>
      <w:r w:rsidR="00347CD0">
        <w:rPr>
          <w:szCs w:val="24"/>
        </w:rPr>
        <w:t>manner</w:t>
      </w:r>
      <w:r w:rsidR="00347CD0" w:rsidRPr="0073464F">
        <w:rPr>
          <w:szCs w:val="24"/>
        </w:rPr>
        <w:t xml:space="preserve"> </w:t>
      </w:r>
      <w:r w:rsidRPr="0073464F">
        <w:rPr>
          <w:szCs w:val="24"/>
        </w:rPr>
        <w:t>and make them accessible to the largest number of faculty, staff, and students possible has a significant impact o</w:t>
      </w:r>
      <w:r>
        <w:rPr>
          <w:szCs w:val="24"/>
        </w:rPr>
        <w:t>n our ability to deliver high-</w:t>
      </w:r>
      <w:r w:rsidRPr="0073464F">
        <w:rPr>
          <w:szCs w:val="24"/>
        </w:rPr>
        <w:t>quality academic p</w:t>
      </w:r>
      <w:r>
        <w:rPr>
          <w:szCs w:val="24"/>
        </w:rPr>
        <w:t>rograms and to engage in high-quality research. T</w:t>
      </w:r>
      <w:r w:rsidRPr="0073464F">
        <w:rPr>
          <w:szCs w:val="24"/>
        </w:rPr>
        <w:t xml:space="preserve">his proposal suggests </w:t>
      </w:r>
      <w:r>
        <w:rPr>
          <w:szCs w:val="24"/>
        </w:rPr>
        <w:t>utilizing collaboration and a “Queen’s first” view of software licensing to eliminate the current fragmented processes and create a more user</w:t>
      </w:r>
      <w:r w:rsidR="00775B4C">
        <w:rPr>
          <w:szCs w:val="24"/>
        </w:rPr>
        <w:t>-</w:t>
      </w:r>
      <w:r>
        <w:rPr>
          <w:szCs w:val="24"/>
        </w:rPr>
        <w:t xml:space="preserve">friendly </w:t>
      </w:r>
      <w:r w:rsidRPr="0073464F">
        <w:rPr>
          <w:szCs w:val="24"/>
        </w:rPr>
        <w:t xml:space="preserve">software experience and </w:t>
      </w:r>
      <w:r>
        <w:rPr>
          <w:szCs w:val="24"/>
        </w:rPr>
        <w:t xml:space="preserve">better value for our </w:t>
      </w:r>
      <w:r w:rsidRPr="0073464F">
        <w:rPr>
          <w:szCs w:val="24"/>
        </w:rPr>
        <w:t>investment. This benefits all faculty, staff</w:t>
      </w:r>
      <w:r>
        <w:rPr>
          <w:szCs w:val="24"/>
        </w:rPr>
        <w:t xml:space="preserve">, and students at Queen’s University </w:t>
      </w:r>
      <w:r w:rsidRPr="0073464F">
        <w:rPr>
          <w:szCs w:val="24"/>
        </w:rPr>
        <w:t>by providing essential</w:t>
      </w:r>
      <w:r>
        <w:rPr>
          <w:szCs w:val="24"/>
        </w:rPr>
        <w:t xml:space="preserve"> software licenses for all who need them</w:t>
      </w:r>
      <w:r w:rsidR="006907CB">
        <w:rPr>
          <w:szCs w:val="24"/>
        </w:rPr>
        <w:t>.</w:t>
      </w:r>
    </w:p>
    <w:p w14:paraId="18F83DDE" w14:textId="7B858C7B" w:rsidR="006907CB" w:rsidRPr="00B321CE" w:rsidRDefault="006907CB" w:rsidP="00A402E2">
      <w:pPr>
        <w:spacing w:line="240" w:lineRule="auto"/>
      </w:pPr>
      <w:r w:rsidRPr="006907CB">
        <w:rPr>
          <w:b/>
          <w:szCs w:val="24"/>
          <w:u w:val="single"/>
        </w:rPr>
        <w:t>Objective</w:t>
      </w:r>
      <w:r>
        <w:rPr>
          <w:b/>
          <w:szCs w:val="24"/>
        </w:rPr>
        <w:t xml:space="preserve">: </w:t>
      </w:r>
      <w:r w:rsidRPr="00B321CE">
        <w:t xml:space="preserve">To recommend policies, procedures and funding approaches which will achieve </w:t>
      </w:r>
      <w:r w:rsidR="00B321CE">
        <w:rPr>
          <w:b/>
        </w:rPr>
        <w:t>increased compliance,</w:t>
      </w:r>
      <w:r w:rsidRPr="00B321CE">
        <w:t xml:space="preserve"> </w:t>
      </w:r>
      <w:r w:rsidRPr="00B321CE">
        <w:rPr>
          <w:b/>
        </w:rPr>
        <w:t>lower costs</w:t>
      </w:r>
      <w:r w:rsidRPr="00B321CE">
        <w:t xml:space="preserve"> and </w:t>
      </w:r>
      <w:r w:rsidRPr="00B321CE">
        <w:rPr>
          <w:b/>
        </w:rPr>
        <w:t xml:space="preserve">improve </w:t>
      </w:r>
      <w:r w:rsidR="00B321CE">
        <w:rPr>
          <w:b/>
        </w:rPr>
        <w:t>efficiency of</w:t>
      </w:r>
      <w:r w:rsidRPr="00B321CE">
        <w:rPr>
          <w:b/>
        </w:rPr>
        <w:t xml:space="preserve"> software licensing practices</w:t>
      </w:r>
      <w:r w:rsidRPr="00B321CE">
        <w:t xml:space="preserve"> at Queen’s University.</w:t>
      </w:r>
    </w:p>
    <w:p w14:paraId="59DFC4D7" w14:textId="07E43404" w:rsidR="00B321CE" w:rsidRPr="00A402E2" w:rsidRDefault="00B321CE" w:rsidP="00B321CE">
      <w:pPr>
        <w:spacing w:line="240" w:lineRule="auto"/>
        <w:rPr>
          <w:b/>
        </w:rPr>
      </w:pPr>
      <w:r>
        <w:rPr>
          <w:b/>
          <w:u w:val="single"/>
        </w:rPr>
        <w:t>Recommendation</w:t>
      </w:r>
      <w:r w:rsidRPr="00B321CE">
        <w:rPr>
          <w:b/>
        </w:rPr>
        <w:t>: Increase</w:t>
      </w:r>
      <w:r>
        <w:rPr>
          <w:b/>
        </w:rPr>
        <w:t>d</w:t>
      </w:r>
      <w:r w:rsidRPr="00B321CE">
        <w:rPr>
          <w:b/>
        </w:rPr>
        <w:t xml:space="preserve"> </w:t>
      </w:r>
      <w:r>
        <w:rPr>
          <w:b/>
        </w:rPr>
        <w:t>c</w:t>
      </w:r>
      <w:r w:rsidRPr="00A402E2">
        <w:rPr>
          <w:b/>
        </w:rPr>
        <w:t>ompliance</w:t>
      </w:r>
    </w:p>
    <w:p w14:paraId="788F5C45" w14:textId="77777777" w:rsidR="00B321CE" w:rsidRPr="009B4806" w:rsidRDefault="00B321CE" w:rsidP="00B321CE">
      <w:pPr>
        <w:spacing w:line="240" w:lineRule="auto"/>
      </w:pPr>
      <w:r>
        <w:t>The institution is ultimately accountable for software license compliance, regardless of whether it is purchased centrally or at the department level. However, the institution does not govern or monitor appropriate use. A centralized, managed enterprise software licensing framework would help ensure that Queen’s is demonstrating its due diligence when dealing with the licensing and distribution of software titles, and is protected from issues of piracy and in appropriate usage.</w:t>
      </w:r>
    </w:p>
    <w:p w14:paraId="55F92425" w14:textId="3BCAC003" w:rsidR="00A402E2" w:rsidRPr="00B321CE" w:rsidRDefault="00B321CE" w:rsidP="00A402E2">
      <w:pPr>
        <w:spacing w:line="240" w:lineRule="auto"/>
        <w:rPr>
          <w:b/>
          <w:szCs w:val="24"/>
          <w:u w:val="single"/>
        </w:rPr>
      </w:pPr>
      <w:r w:rsidRPr="00B321CE">
        <w:rPr>
          <w:b/>
          <w:szCs w:val="24"/>
          <w:u w:val="single"/>
        </w:rPr>
        <w:t>Re</w:t>
      </w:r>
      <w:r>
        <w:rPr>
          <w:b/>
          <w:szCs w:val="24"/>
          <w:u w:val="single"/>
        </w:rPr>
        <w:t>commendation</w:t>
      </w:r>
      <w:r w:rsidRPr="00B321CE">
        <w:rPr>
          <w:b/>
          <w:szCs w:val="24"/>
          <w:u w:val="single"/>
        </w:rPr>
        <w:t xml:space="preserve">: </w:t>
      </w:r>
      <w:r>
        <w:rPr>
          <w:b/>
          <w:szCs w:val="24"/>
        </w:rPr>
        <w:t>Reduce overall</w:t>
      </w:r>
      <w:r w:rsidR="00A402E2" w:rsidRPr="00B321CE">
        <w:rPr>
          <w:b/>
          <w:szCs w:val="24"/>
        </w:rPr>
        <w:t xml:space="preserve"> costs</w:t>
      </w:r>
    </w:p>
    <w:p w14:paraId="51EC8EEF" w14:textId="2920E10A" w:rsidR="00A402E2" w:rsidRDefault="00A402E2" w:rsidP="00A402E2">
      <w:pPr>
        <w:spacing w:line="240" w:lineRule="auto"/>
      </w:pPr>
      <w:r w:rsidRPr="00C568FB">
        <w:lastRenderedPageBreak/>
        <w:t>In addition to the administrative costs saved by eliminating redundant work across the institution, the central approach proposed will also leverage the ability of the institution to negotiate at scale. Managing compliance and product delivery centrally have similar benefits. In the event of an audit or related public records request, for example, staff burden would be reduced to a single point, rather than spread across the institution.</w:t>
      </w:r>
      <w:r w:rsidR="00452C94">
        <w:t xml:space="preserve"> </w:t>
      </w:r>
      <w:r w:rsidR="00452C94" w:rsidRPr="00452C94">
        <w:t xml:space="preserve">SLM requires dedicated resources both in the funding of the software and the staffing requirements to manage and distribute them. Following the Queen’s Strategic Framework mandate of </w:t>
      </w:r>
      <w:r w:rsidR="00347CD0">
        <w:t>‘</w:t>
      </w:r>
      <w:r w:rsidR="00452C94" w:rsidRPr="00452C94">
        <w:t>Ensuring Financial Sustainability</w:t>
      </w:r>
      <w:r w:rsidR="00347CD0">
        <w:t>’,</w:t>
      </w:r>
      <w:r w:rsidR="00452C94" w:rsidRPr="00452C94">
        <w:t xml:space="preserve"> the recommendation to centrally fund selected enterprise software licenses will provide the benefits (</w:t>
      </w:r>
      <w:r w:rsidR="00347CD0">
        <w:t xml:space="preserve">i.e., </w:t>
      </w:r>
      <w:r w:rsidR="00452C94" w:rsidRPr="00452C94">
        <w:t>lower cost) of managed volume purchases, in addition to reducing the need for faculties, schools and departments to dedicate resources to manage core software titles</w:t>
      </w:r>
      <w:r w:rsidR="00775B4C">
        <w:t>.</w:t>
      </w:r>
    </w:p>
    <w:p w14:paraId="3100D1E5" w14:textId="2518E4D7" w:rsidR="00B321CE" w:rsidRPr="00A402E2" w:rsidRDefault="00B321CE" w:rsidP="00B321CE">
      <w:pPr>
        <w:spacing w:line="240" w:lineRule="auto"/>
        <w:rPr>
          <w:b/>
          <w:szCs w:val="24"/>
        </w:rPr>
      </w:pPr>
      <w:r>
        <w:rPr>
          <w:b/>
          <w:u w:val="single"/>
        </w:rPr>
        <w:t>Recommendation</w:t>
      </w:r>
      <w:r w:rsidRPr="00B321CE">
        <w:rPr>
          <w:b/>
          <w:u w:val="single"/>
        </w:rPr>
        <w:t>:</w:t>
      </w:r>
      <w:r>
        <w:t xml:space="preserve"> </w:t>
      </w:r>
      <w:r w:rsidRPr="00A402E2">
        <w:rPr>
          <w:b/>
          <w:szCs w:val="24"/>
        </w:rPr>
        <w:t xml:space="preserve">Improve </w:t>
      </w:r>
      <w:r>
        <w:rPr>
          <w:b/>
          <w:szCs w:val="24"/>
        </w:rPr>
        <w:t xml:space="preserve">administrative </w:t>
      </w:r>
      <w:r w:rsidRPr="00A402E2">
        <w:rPr>
          <w:b/>
          <w:szCs w:val="24"/>
        </w:rPr>
        <w:t>efficiency</w:t>
      </w:r>
    </w:p>
    <w:p w14:paraId="07810394" w14:textId="6D65FAE5" w:rsidR="00B321CE" w:rsidRPr="00A402E2" w:rsidRDefault="00B321CE" w:rsidP="00B321CE">
      <w:pPr>
        <w:spacing w:line="240" w:lineRule="auto"/>
        <w:rPr>
          <w:szCs w:val="24"/>
        </w:rPr>
      </w:pPr>
      <w:r w:rsidRPr="00A402E2">
        <w:rPr>
          <w:szCs w:val="24"/>
        </w:rPr>
        <w:t xml:space="preserve">Offering central institutional software evaluation, contract negotiation, procurement, and delivery is an efficient model for the </w:t>
      </w:r>
      <w:r w:rsidR="00347CD0">
        <w:rPr>
          <w:szCs w:val="24"/>
        </w:rPr>
        <w:t>U</w:t>
      </w:r>
      <w:r w:rsidRPr="00A402E2">
        <w:rPr>
          <w:szCs w:val="24"/>
        </w:rPr>
        <w:t>niversity. Currently, individual units bargain independently with many of the same large software vendors. These duplicate efforts are wasteful and burdensome on unit staff. By rolling these numerous individual negotiations and management effort up into one, we save time across the institution.</w:t>
      </w:r>
    </w:p>
    <w:p w14:paraId="7B72FFE1" w14:textId="77777777" w:rsidR="00B321CE" w:rsidRDefault="00B321CE" w:rsidP="00B321CE">
      <w:pPr>
        <w:spacing w:line="240" w:lineRule="auto"/>
        <w:rPr>
          <w:szCs w:val="24"/>
        </w:rPr>
      </w:pPr>
      <w:r w:rsidRPr="00A402E2">
        <w:rPr>
          <w:szCs w:val="24"/>
        </w:rPr>
        <w:t>Non-centralized purchasing and licensing for broadly-used software tools exacts a toll across the institution. While an exact amount of financial loss is difficult to quantify, the qualitative effects are clear.  Managing software licensing on a case</w:t>
      </w:r>
      <w:r>
        <w:rPr>
          <w:szCs w:val="24"/>
        </w:rPr>
        <w:t>-</w:t>
      </w:r>
      <w:r w:rsidRPr="00A402E2">
        <w:rPr>
          <w:szCs w:val="24"/>
        </w:rPr>
        <w:t>by</w:t>
      </w:r>
      <w:r>
        <w:rPr>
          <w:szCs w:val="24"/>
        </w:rPr>
        <w:t>-</w:t>
      </w:r>
      <w:r w:rsidRPr="00A402E2">
        <w:rPr>
          <w:szCs w:val="24"/>
        </w:rPr>
        <w:t>case basis is highly disruptive and tedious to faculty as well as supporting staff and students.  Reg</w:t>
      </w:r>
      <w:r>
        <w:rPr>
          <w:szCs w:val="24"/>
        </w:rPr>
        <w:t>ardless of support staff size</w:t>
      </w:r>
      <w:r w:rsidRPr="00A402E2">
        <w:rPr>
          <w:szCs w:val="24"/>
        </w:rPr>
        <w:t xml:space="preserve">, this activity also conveys a feeling of lack of support by </w:t>
      </w:r>
      <w:r>
        <w:rPr>
          <w:szCs w:val="24"/>
        </w:rPr>
        <w:t>both ITS, and the local departmental IT units</w:t>
      </w:r>
      <w:r w:rsidRPr="00A402E2">
        <w:rPr>
          <w:szCs w:val="24"/>
        </w:rPr>
        <w:t xml:space="preserve">.  </w:t>
      </w:r>
    </w:p>
    <w:p w14:paraId="077ADAE4" w14:textId="77777777" w:rsidR="00B321CE" w:rsidRDefault="00B321CE" w:rsidP="00A402E2">
      <w:pPr>
        <w:spacing w:line="240" w:lineRule="auto"/>
      </w:pPr>
    </w:p>
    <w:p w14:paraId="3E0A64C2" w14:textId="77777777" w:rsidR="00452C94" w:rsidRDefault="00452C94">
      <w:pPr>
        <w:rPr>
          <w:rFonts w:asciiTheme="majorHAnsi" w:eastAsiaTheme="majorEastAsia" w:hAnsiTheme="majorHAnsi" w:cstheme="majorBidi"/>
          <w:color w:val="2E74B5" w:themeColor="accent1" w:themeShade="BF"/>
          <w:sz w:val="32"/>
          <w:szCs w:val="32"/>
        </w:rPr>
      </w:pPr>
      <w:r>
        <w:br w:type="page"/>
      </w:r>
    </w:p>
    <w:p w14:paraId="2FC82BDD" w14:textId="77777777" w:rsidR="00D81569" w:rsidRDefault="00035382" w:rsidP="00DE3CCD">
      <w:pPr>
        <w:pStyle w:val="Heading1"/>
        <w:spacing w:line="240" w:lineRule="auto"/>
      </w:pPr>
      <w:bookmarkStart w:id="23" w:name="_Toc469383406"/>
      <w:r>
        <w:lastRenderedPageBreak/>
        <w:t>8</w:t>
      </w:r>
      <w:r w:rsidR="001E0112">
        <w:t xml:space="preserve"> </w:t>
      </w:r>
      <w:r w:rsidR="003D39FD">
        <w:t>-</w:t>
      </w:r>
      <w:r w:rsidR="001E0112">
        <w:t xml:space="preserve"> </w:t>
      </w:r>
      <w:r w:rsidR="00D80230" w:rsidRPr="003D1C51">
        <w:t>Appendixes</w:t>
      </w:r>
      <w:bookmarkEnd w:id="23"/>
    </w:p>
    <w:p w14:paraId="2D477868" w14:textId="77777777" w:rsidR="005B18C2" w:rsidRDefault="005B18C2" w:rsidP="00DE3CCD">
      <w:pPr>
        <w:pStyle w:val="Heading2"/>
        <w:spacing w:line="240" w:lineRule="auto"/>
      </w:pPr>
    </w:p>
    <w:p w14:paraId="29E2ED52" w14:textId="77777777" w:rsidR="00045431" w:rsidRDefault="005B18C2" w:rsidP="00DE3CCD">
      <w:pPr>
        <w:pStyle w:val="Heading2"/>
        <w:spacing w:line="240" w:lineRule="auto"/>
      </w:pPr>
      <w:bookmarkStart w:id="24" w:name="_Toc469383407"/>
      <w:r>
        <w:t>Appendix A – Software Licensing Task Group Membership</w:t>
      </w:r>
      <w:bookmarkEnd w:id="24"/>
    </w:p>
    <w:p w14:paraId="01B73DD5" w14:textId="77777777" w:rsidR="00045431" w:rsidRPr="00045431" w:rsidRDefault="00045431" w:rsidP="00DE3CCD">
      <w:pPr>
        <w:spacing w:line="240" w:lineRule="auto"/>
      </w:pPr>
    </w:p>
    <w:p w14:paraId="6DCBBC17" w14:textId="77777777" w:rsidR="00045431" w:rsidRDefault="00045431" w:rsidP="00DE3CCD">
      <w:pPr>
        <w:spacing w:after="0" w:line="240" w:lineRule="auto"/>
        <w:rPr>
          <w:lang w:val="en-CA"/>
        </w:rPr>
      </w:pPr>
      <w:r w:rsidRPr="00045431">
        <w:rPr>
          <w:lang w:val="en-CA"/>
        </w:rPr>
        <w:t>Bo Wandschneider – CIO (Sponsor)</w:t>
      </w:r>
    </w:p>
    <w:p w14:paraId="3BFBA28A" w14:textId="77777777" w:rsidR="00045431" w:rsidRPr="00045431" w:rsidRDefault="00045431" w:rsidP="00DE3CCD">
      <w:pPr>
        <w:spacing w:after="0" w:line="240" w:lineRule="auto"/>
        <w:rPr>
          <w:lang w:val="en-CA"/>
        </w:rPr>
      </w:pPr>
      <w:r w:rsidRPr="00045431">
        <w:rPr>
          <w:lang w:val="en-CA"/>
        </w:rPr>
        <w:t>Keith McWhirter – AD ITS (Chair)</w:t>
      </w:r>
    </w:p>
    <w:p w14:paraId="3F974CFE" w14:textId="77777777" w:rsidR="00045431" w:rsidRPr="00045431" w:rsidRDefault="00045431" w:rsidP="00DE3CCD">
      <w:pPr>
        <w:spacing w:after="0" w:line="240" w:lineRule="auto"/>
        <w:rPr>
          <w:lang w:val="en-CA"/>
        </w:rPr>
      </w:pPr>
      <w:r w:rsidRPr="00045431">
        <w:rPr>
          <w:lang w:val="en-CA"/>
        </w:rPr>
        <w:t>Paul Treitz – Arts &amp; Science Faculty</w:t>
      </w:r>
    </w:p>
    <w:p w14:paraId="2A718357" w14:textId="77777777" w:rsidR="00045431" w:rsidRPr="00045431" w:rsidRDefault="00045431" w:rsidP="00DE3CCD">
      <w:pPr>
        <w:spacing w:after="0" w:line="240" w:lineRule="auto"/>
        <w:rPr>
          <w:lang w:val="en-CA"/>
        </w:rPr>
      </w:pPr>
      <w:r w:rsidRPr="00045431">
        <w:rPr>
          <w:lang w:val="en-CA"/>
        </w:rPr>
        <w:t>Brian McDonald – AD ITS</w:t>
      </w:r>
    </w:p>
    <w:p w14:paraId="5FC87CFE" w14:textId="77777777" w:rsidR="00045431" w:rsidRPr="00045431" w:rsidRDefault="00045431" w:rsidP="00DE3CCD">
      <w:pPr>
        <w:spacing w:after="0" w:line="240" w:lineRule="auto"/>
        <w:rPr>
          <w:lang w:val="en-CA"/>
        </w:rPr>
      </w:pPr>
      <w:r w:rsidRPr="00045431">
        <w:rPr>
          <w:lang w:val="en-CA"/>
        </w:rPr>
        <w:t>Brian Coughtrey – Manager ITS</w:t>
      </w:r>
    </w:p>
    <w:p w14:paraId="296FF4B1" w14:textId="77777777" w:rsidR="00045431" w:rsidRPr="00045431" w:rsidRDefault="00045431" w:rsidP="00DE3CCD">
      <w:pPr>
        <w:spacing w:after="0" w:line="240" w:lineRule="auto"/>
        <w:rPr>
          <w:lang w:val="en-CA"/>
        </w:rPr>
      </w:pPr>
      <w:r w:rsidRPr="00045431">
        <w:rPr>
          <w:lang w:val="en-CA"/>
        </w:rPr>
        <w:t>Michael Vandenberg – Library</w:t>
      </w:r>
    </w:p>
    <w:p w14:paraId="470AEAAA" w14:textId="77777777" w:rsidR="00045431" w:rsidRPr="00045431" w:rsidRDefault="00045431" w:rsidP="00DE3CCD">
      <w:pPr>
        <w:spacing w:after="0" w:line="240" w:lineRule="auto"/>
        <w:rPr>
          <w:lang w:val="en-CA"/>
        </w:rPr>
      </w:pPr>
      <w:r w:rsidRPr="00045431">
        <w:rPr>
          <w:lang w:val="en-CA"/>
        </w:rPr>
        <w:t>Patrick Legresley - Smith</w:t>
      </w:r>
    </w:p>
    <w:p w14:paraId="08D956B9" w14:textId="77777777" w:rsidR="00045431" w:rsidRPr="00045431" w:rsidRDefault="00045431" w:rsidP="00DE3CCD">
      <w:pPr>
        <w:spacing w:after="0" w:line="240" w:lineRule="auto"/>
        <w:rPr>
          <w:lang w:val="en-CA"/>
        </w:rPr>
      </w:pPr>
      <w:r w:rsidRPr="00045431">
        <w:rPr>
          <w:lang w:val="en-CA"/>
        </w:rPr>
        <w:t>Bob Burge – Faculty of Education</w:t>
      </w:r>
    </w:p>
    <w:p w14:paraId="14E0BE51" w14:textId="77777777" w:rsidR="00045431" w:rsidRPr="00045431" w:rsidRDefault="00045431" w:rsidP="00DE3CCD">
      <w:pPr>
        <w:spacing w:after="0" w:line="240" w:lineRule="auto"/>
        <w:rPr>
          <w:lang w:val="en-CA"/>
        </w:rPr>
      </w:pPr>
      <w:r w:rsidRPr="00045431">
        <w:rPr>
          <w:lang w:val="en-CA"/>
        </w:rPr>
        <w:t>James McLellan - Faculty of Engineering and Applied Science</w:t>
      </w:r>
    </w:p>
    <w:p w14:paraId="0CF1EB5E" w14:textId="77777777" w:rsidR="00045431" w:rsidRPr="00045431" w:rsidRDefault="00045431" w:rsidP="00DE3CCD">
      <w:pPr>
        <w:spacing w:after="0" w:line="240" w:lineRule="auto"/>
        <w:rPr>
          <w:lang w:val="en-CA"/>
        </w:rPr>
      </w:pPr>
      <w:r w:rsidRPr="00045431">
        <w:rPr>
          <w:lang w:val="en-CA"/>
        </w:rPr>
        <w:t xml:space="preserve">Karina McInnis </w:t>
      </w:r>
      <w:r w:rsidR="002F7EC7">
        <w:rPr>
          <w:lang w:val="en-CA"/>
        </w:rPr>
        <w:t>–</w:t>
      </w:r>
      <w:r w:rsidRPr="00045431">
        <w:rPr>
          <w:lang w:val="en-CA"/>
        </w:rPr>
        <w:t xml:space="preserve"> </w:t>
      </w:r>
      <w:r w:rsidR="002F7EC7">
        <w:rPr>
          <w:lang w:val="en-CA"/>
        </w:rPr>
        <w:t>University</w:t>
      </w:r>
      <w:r w:rsidRPr="00045431">
        <w:rPr>
          <w:lang w:val="en-CA"/>
        </w:rPr>
        <w:t xml:space="preserve"> Research Services</w:t>
      </w:r>
    </w:p>
    <w:p w14:paraId="37DF22A1" w14:textId="77777777" w:rsidR="005B18C2" w:rsidRPr="005B18C2" w:rsidRDefault="005B18C2" w:rsidP="00DE3CCD">
      <w:pPr>
        <w:spacing w:line="240" w:lineRule="auto"/>
      </w:pPr>
    </w:p>
    <w:p w14:paraId="06405E26" w14:textId="77777777" w:rsidR="005B18C2" w:rsidRDefault="005B18C2" w:rsidP="00DE3CCD">
      <w:pPr>
        <w:pStyle w:val="Heading2"/>
        <w:spacing w:line="240" w:lineRule="auto"/>
      </w:pPr>
      <w:bookmarkStart w:id="25" w:name="_Toc469383408"/>
      <w:r>
        <w:t>Appendix B – Software Licensing Tiers</w:t>
      </w:r>
      <w:bookmarkEnd w:id="25"/>
    </w:p>
    <w:p w14:paraId="6E687B3E" w14:textId="77777777" w:rsidR="005B18C2" w:rsidRPr="005B18C2" w:rsidRDefault="005B18C2" w:rsidP="00DE3CCD">
      <w:pPr>
        <w:spacing w:line="240" w:lineRule="auto"/>
      </w:pPr>
    </w:p>
    <w:tbl>
      <w:tblPr>
        <w:tblStyle w:val="GridTable2-Accent11"/>
        <w:tblW w:w="9923" w:type="dxa"/>
        <w:tblLook w:val="04A0" w:firstRow="1" w:lastRow="0" w:firstColumn="1" w:lastColumn="0" w:noHBand="0" w:noVBand="1"/>
      </w:tblPr>
      <w:tblGrid>
        <w:gridCol w:w="1134"/>
        <w:gridCol w:w="2410"/>
        <w:gridCol w:w="2835"/>
        <w:gridCol w:w="3544"/>
      </w:tblGrid>
      <w:tr w:rsidR="00EC7C59" w14:paraId="47E1D8AF" w14:textId="77777777" w:rsidTr="009118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94CF681" w14:textId="77777777" w:rsidR="00EC7C59" w:rsidRPr="00B300DD" w:rsidRDefault="00EC7C59" w:rsidP="00DE3CCD">
            <w:pPr>
              <w:rPr>
                <w:rFonts w:eastAsia="Times New Roman" w:cs="Arial"/>
                <w:color w:val="000000"/>
                <w:sz w:val="18"/>
                <w:szCs w:val="18"/>
              </w:rPr>
            </w:pPr>
            <w:r w:rsidRPr="00B300DD">
              <w:rPr>
                <w:rFonts w:eastAsia="Times New Roman" w:cs="Arial"/>
                <w:bCs w:val="0"/>
                <w:color w:val="000000"/>
                <w:sz w:val="18"/>
                <w:szCs w:val="18"/>
              </w:rPr>
              <w:t>Level</w:t>
            </w:r>
          </w:p>
        </w:tc>
        <w:tc>
          <w:tcPr>
            <w:tcW w:w="2410" w:type="dxa"/>
          </w:tcPr>
          <w:p w14:paraId="58998BCD" w14:textId="77777777" w:rsidR="00EC7C59" w:rsidRPr="00B300DD" w:rsidRDefault="00EC7C59" w:rsidP="00DE3CCD">
            <w:pP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18"/>
                <w:szCs w:val="18"/>
              </w:rPr>
            </w:pPr>
            <w:r w:rsidRPr="00B300DD">
              <w:rPr>
                <w:rFonts w:eastAsia="Times New Roman" w:cs="Arial"/>
                <w:bCs w:val="0"/>
                <w:color w:val="000000"/>
                <w:sz w:val="18"/>
                <w:szCs w:val="18"/>
              </w:rPr>
              <w:t>Type</w:t>
            </w:r>
          </w:p>
        </w:tc>
        <w:tc>
          <w:tcPr>
            <w:tcW w:w="2835" w:type="dxa"/>
          </w:tcPr>
          <w:p w14:paraId="1595289E" w14:textId="77777777" w:rsidR="00EC7C59" w:rsidRPr="00B300DD" w:rsidRDefault="00EC7C59" w:rsidP="00DE3CCD">
            <w:pP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18"/>
                <w:szCs w:val="18"/>
              </w:rPr>
            </w:pPr>
            <w:r w:rsidRPr="00B300DD">
              <w:rPr>
                <w:rFonts w:eastAsia="Times New Roman" w:cs="Arial"/>
                <w:bCs w:val="0"/>
                <w:color w:val="000000"/>
                <w:sz w:val="18"/>
                <w:szCs w:val="18"/>
              </w:rPr>
              <w:t>Funding</w:t>
            </w:r>
          </w:p>
        </w:tc>
        <w:tc>
          <w:tcPr>
            <w:tcW w:w="3544" w:type="dxa"/>
          </w:tcPr>
          <w:p w14:paraId="1643F384" w14:textId="77777777" w:rsidR="00EC7C59" w:rsidRPr="00B300DD" w:rsidRDefault="00EC7C59" w:rsidP="00DE3CCD">
            <w:pPr>
              <w:cnfStyle w:val="100000000000" w:firstRow="1" w:lastRow="0" w:firstColumn="0" w:lastColumn="0" w:oddVBand="0" w:evenVBand="0" w:oddHBand="0" w:evenHBand="0" w:firstRowFirstColumn="0" w:firstRowLastColumn="0" w:lastRowFirstColumn="0" w:lastRowLastColumn="0"/>
              <w:rPr>
                <w:rFonts w:eastAsia="Times New Roman" w:cs="Arial"/>
                <w:bCs w:val="0"/>
                <w:color w:val="000000"/>
                <w:sz w:val="18"/>
                <w:szCs w:val="18"/>
              </w:rPr>
            </w:pPr>
            <w:r w:rsidRPr="00B300DD">
              <w:rPr>
                <w:rFonts w:eastAsia="Times New Roman" w:cs="Arial"/>
                <w:bCs w:val="0"/>
                <w:color w:val="000000"/>
                <w:sz w:val="18"/>
                <w:szCs w:val="18"/>
              </w:rPr>
              <w:t>Management</w:t>
            </w:r>
          </w:p>
        </w:tc>
      </w:tr>
      <w:tr w:rsidR="00EC7C59" w14:paraId="151152DD" w14:textId="77777777" w:rsidTr="009118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E428139" w14:textId="77777777" w:rsidR="00EC7C59" w:rsidRPr="00B300DD" w:rsidRDefault="00EC7C59" w:rsidP="00DE3CCD">
            <w:pPr>
              <w:rPr>
                <w:rFonts w:eastAsia="Times New Roman" w:cs="Arial"/>
                <w:color w:val="000000"/>
                <w:sz w:val="18"/>
                <w:szCs w:val="18"/>
              </w:rPr>
            </w:pPr>
            <w:r w:rsidRPr="00B300DD">
              <w:rPr>
                <w:rFonts w:eastAsia="Times New Roman" w:cs="Arial"/>
                <w:color w:val="000000"/>
                <w:sz w:val="18"/>
                <w:szCs w:val="18"/>
              </w:rPr>
              <w:t>1</w:t>
            </w:r>
          </w:p>
        </w:tc>
        <w:tc>
          <w:tcPr>
            <w:tcW w:w="2410" w:type="dxa"/>
          </w:tcPr>
          <w:p w14:paraId="186444C5" w14:textId="77777777" w:rsidR="00EC7C59" w:rsidRPr="00B300DD" w:rsidRDefault="00EC7C59" w:rsidP="00DE3CC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B300DD">
              <w:rPr>
                <w:rFonts w:eastAsia="Times New Roman" w:cs="Arial"/>
                <w:color w:val="000000"/>
                <w:sz w:val="18"/>
                <w:szCs w:val="18"/>
              </w:rPr>
              <w:t>Teaching/Admin/Research</w:t>
            </w:r>
          </w:p>
        </w:tc>
        <w:tc>
          <w:tcPr>
            <w:tcW w:w="2835" w:type="dxa"/>
          </w:tcPr>
          <w:p w14:paraId="59AF03F8" w14:textId="77777777" w:rsidR="00EC7C59" w:rsidRPr="00B300DD" w:rsidRDefault="00EC7C59" w:rsidP="00DE3CC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B300DD">
              <w:rPr>
                <w:rFonts w:eastAsia="Times New Roman" w:cs="Arial"/>
                <w:color w:val="000000"/>
                <w:sz w:val="18"/>
                <w:szCs w:val="18"/>
              </w:rPr>
              <w:t>Purchase Direct</w:t>
            </w:r>
          </w:p>
        </w:tc>
        <w:tc>
          <w:tcPr>
            <w:tcW w:w="3544" w:type="dxa"/>
          </w:tcPr>
          <w:p w14:paraId="2A382919" w14:textId="77777777" w:rsidR="00EC7C59" w:rsidRPr="00B300DD" w:rsidRDefault="00EC7C59" w:rsidP="00DE3CC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B300DD">
              <w:rPr>
                <w:rFonts w:eastAsia="Times New Roman" w:cs="Arial"/>
                <w:color w:val="000000"/>
                <w:sz w:val="18"/>
                <w:szCs w:val="18"/>
              </w:rPr>
              <w:t>Vendor Direct</w:t>
            </w:r>
          </w:p>
          <w:p w14:paraId="478D5C0E" w14:textId="77777777" w:rsidR="00EC7C59" w:rsidRPr="00B300DD" w:rsidRDefault="00EC7C59" w:rsidP="00DE3CC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p>
        </w:tc>
      </w:tr>
      <w:tr w:rsidR="00EC7C59" w14:paraId="49ECCE7A" w14:textId="77777777" w:rsidTr="0091183C">
        <w:tc>
          <w:tcPr>
            <w:cnfStyle w:val="001000000000" w:firstRow="0" w:lastRow="0" w:firstColumn="1" w:lastColumn="0" w:oddVBand="0" w:evenVBand="0" w:oddHBand="0" w:evenHBand="0" w:firstRowFirstColumn="0" w:firstRowLastColumn="0" w:lastRowFirstColumn="0" w:lastRowLastColumn="0"/>
            <w:tcW w:w="1134" w:type="dxa"/>
          </w:tcPr>
          <w:p w14:paraId="54A4B097" w14:textId="77777777" w:rsidR="00EC7C59" w:rsidRPr="00B300DD" w:rsidRDefault="00EC7C59" w:rsidP="00DE3CCD">
            <w:pPr>
              <w:rPr>
                <w:rFonts w:eastAsia="Times New Roman" w:cs="Arial"/>
                <w:b w:val="0"/>
                <w:bCs w:val="0"/>
                <w:color w:val="000000"/>
                <w:sz w:val="18"/>
                <w:szCs w:val="18"/>
              </w:rPr>
            </w:pPr>
            <w:r w:rsidRPr="00B300DD">
              <w:rPr>
                <w:rFonts w:eastAsia="Times New Roman" w:cs="Arial"/>
                <w:color w:val="000000"/>
                <w:sz w:val="18"/>
                <w:szCs w:val="18"/>
              </w:rPr>
              <w:t>2</w:t>
            </w:r>
          </w:p>
        </w:tc>
        <w:tc>
          <w:tcPr>
            <w:tcW w:w="2410" w:type="dxa"/>
          </w:tcPr>
          <w:p w14:paraId="4D17758F" w14:textId="77777777" w:rsidR="00EC7C59" w:rsidRPr="00B300DD" w:rsidRDefault="00EC7C59" w:rsidP="00DE3CC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sidRPr="00B300DD">
              <w:rPr>
                <w:rFonts w:eastAsia="Times New Roman" w:cs="Arial"/>
                <w:color w:val="000000"/>
                <w:sz w:val="18"/>
                <w:szCs w:val="18"/>
              </w:rPr>
              <w:t>Teaching/Admin/Research</w:t>
            </w:r>
          </w:p>
        </w:tc>
        <w:tc>
          <w:tcPr>
            <w:tcW w:w="2835" w:type="dxa"/>
          </w:tcPr>
          <w:p w14:paraId="1805CD96" w14:textId="77777777" w:rsidR="00EC7C59" w:rsidRPr="00B300DD" w:rsidRDefault="00EC7C59" w:rsidP="00DE3CC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sidRPr="00B300DD">
              <w:rPr>
                <w:rFonts w:eastAsia="Times New Roman" w:cs="Arial"/>
                <w:color w:val="000000"/>
                <w:sz w:val="18"/>
                <w:szCs w:val="18"/>
              </w:rPr>
              <w:t>Funded by select departments</w:t>
            </w:r>
          </w:p>
        </w:tc>
        <w:tc>
          <w:tcPr>
            <w:tcW w:w="3544" w:type="dxa"/>
          </w:tcPr>
          <w:p w14:paraId="31ACB6C7" w14:textId="77777777" w:rsidR="009B4806" w:rsidRPr="009B4806" w:rsidRDefault="00EC7C59" w:rsidP="009B4806">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18"/>
                <w:szCs w:val="18"/>
              </w:rPr>
            </w:pPr>
            <w:r w:rsidRPr="00B300DD">
              <w:rPr>
                <w:rFonts w:asciiTheme="minorHAnsi" w:hAnsiTheme="minorHAnsi" w:cs="Arial"/>
                <w:color w:val="000000"/>
                <w:sz w:val="18"/>
                <w:szCs w:val="18"/>
              </w:rPr>
              <w:t>2.1 - Campus Wide Distribution - tracked (pilot) to determine usage a</w:t>
            </w:r>
            <w:r w:rsidR="009B4806">
              <w:rPr>
                <w:rFonts w:asciiTheme="minorHAnsi" w:hAnsiTheme="minorHAnsi" w:cs="Arial"/>
                <w:color w:val="000000"/>
                <w:sz w:val="18"/>
                <w:szCs w:val="18"/>
              </w:rPr>
              <w:t xml:space="preserve">nd appropriate funding sources </w:t>
            </w:r>
            <w:r w:rsidR="009B4806">
              <w:rPr>
                <w:rFonts w:asciiTheme="minorHAnsi" w:hAnsiTheme="minorHAnsi" w:cs="Arial"/>
                <w:color w:val="000000"/>
                <w:sz w:val="18"/>
                <w:szCs w:val="18"/>
              </w:rPr>
              <w:br/>
            </w:r>
            <w:r w:rsidRPr="00B300DD">
              <w:rPr>
                <w:rFonts w:asciiTheme="minorHAnsi" w:hAnsiTheme="minorHAnsi" w:cs="Arial"/>
                <w:color w:val="000000"/>
                <w:sz w:val="18"/>
                <w:szCs w:val="18"/>
              </w:rPr>
              <w:t>2.2 -  Targeted distribution is possible with increased resources/cost</w:t>
            </w:r>
            <w:r w:rsidR="009B4806">
              <w:rPr>
                <w:rFonts w:asciiTheme="minorHAnsi" w:hAnsiTheme="minorHAnsi" w:cs="Arial"/>
                <w:color w:val="000000"/>
                <w:sz w:val="18"/>
                <w:szCs w:val="18"/>
              </w:rPr>
              <w:br/>
            </w:r>
          </w:p>
        </w:tc>
      </w:tr>
      <w:tr w:rsidR="00EC7C59" w14:paraId="468BEE86" w14:textId="77777777" w:rsidTr="0091183C">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134" w:type="dxa"/>
          </w:tcPr>
          <w:p w14:paraId="1CBA0486" w14:textId="77777777" w:rsidR="00EC7C59" w:rsidRPr="00B300DD" w:rsidRDefault="00EC7C59" w:rsidP="00DE3CCD">
            <w:pPr>
              <w:rPr>
                <w:rFonts w:eastAsia="Times New Roman" w:cs="Arial"/>
                <w:color w:val="000000"/>
                <w:sz w:val="18"/>
                <w:szCs w:val="18"/>
              </w:rPr>
            </w:pPr>
            <w:r w:rsidRPr="00B300DD">
              <w:rPr>
                <w:rFonts w:eastAsia="Times New Roman" w:cs="Arial"/>
                <w:color w:val="000000"/>
                <w:sz w:val="18"/>
                <w:szCs w:val="18"/>
              </w:rPr>
              <w:t>3</w:t>
            </w:r>
          </w:p>
        </w:tc>
        <w:tc>
          <w:tcPr>
            <w:tcW w:w="2410" w:type="dxa"/>
          </w:tcPr>
          <w:p w14:paraId="274C593B" w14:textId="77777777" w:rsidR="00EC7C59" w:rsidRPr="00B300DD" w:rsidRDefault="00EC7C59" w:rsidP="00DE3CC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B300DD">
              <w:rPr>
                <w:rFonts w:eastAsia="Times New Roman" w:cs="Arial"/>
                <w:color w:val="000000"/>
                <w:sz w:val="18"/>
                <w:szCs w:val="18"/>
              </w:rPr>
              <w:t>Teaching/Admin/Research</w:t>
            </w:r>
          </w:p>
        </w:tc>
        <w:tc>
          <w:tcPr>
            <w:tcW w:w="2835" w:type="dxa"/>
          </w:tcPr>
          <w:p w14:paraId="3707EA07" w14:textId="77777777" w:rsidR="00EC7C59" w:rsidRPr="00B300DD" w:rsidRDefault="00EC7C59" w:rsidP="00DE3CC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B300DD">
              <w:rPr>
                <w:rFonts w:eastAsia="Times New Roman" w:cs="Arial"/>
                <w:color w:val="000000"/>
                <w:sz w:val="18"/>
                <w:szCs w:val="18"/>
              </w:rPr>
              <w:t>Paid from "central fund" and attributed to all faculties</w:t>
            </w:r>
          </w:p>
        </w:tc>
        <w:tc>
          <w:tcPr>
            <w:tcW w:w="3544" w:type="dxa"/>
          </w:tcPr>
          <w:p w14:paraId="45A9CDDB" w14:textId="77777777" w:rsidR="00EC7C59" w:rsidRPr="00B300DD" w:rsidRDefault="00EC7C59" w:rsidP="00DE3CC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r w:rsidRPr="00B300DD">
              <w:rPr>
                <w:rFonts w:eastAsia="Times New Roman" w:cs="Arial"/>
                <w:color w:val="000000"/>
                <w:sz w:val="18"/>
                <w:szCs w:val="18"/>
              </w:rPr>
              <w:t>Campus Wide Distribution (same questions and resource requirement as above)</w:t>
            </w:r>
          </w:p>
          <w:p w14:paraId="1E4B370F" w14:textId="77777777" w:rsidR="00EC7C59" w:rsidRPr="00B300DD" w:rsidRDefault="00EC7C59" w:rsidP="00DE3CC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rPr>
            </w:pPr>
          </w:p>
        </w:tc>
      </w:tr>
    </w:tbl>
    <w:p w14:paraId="014A6DBD" w14:textId="77777777" w:rsidR="00A80F12" w:rsidRDefault="00A80F12" w:rsidP="00DE3CCD">
      <w:pPr>
        <w:spacing w:line="240" w:lineRule="auto"/>
      </w:pPr>
    </w:p>
    <w:p w14:paraId="1F60A415" w14:textId="77777777" w:rsidR="00EC7A19" w:rsidRPr="00EC7A19" w:rsidRDefault="005B18C2" w:rsidP="00DE3CCD">
      <w:pPr>
        <w:pStyle w:val="Heading2"/>
        <w:spacing w:line="240" w:lineRule="auto"/>
      </w:pPr>
      <w:bookmarkStart w:id="26" w:name="_Toc469383409"/>
      <w:r>
        <w:t>Appendix C – Softwa</w:t>
      </w:r>
      <w:r w:rsidR="009C119A">
        <w:t>re Licensing</w:t>
      </w:r>
      <w:r w:rsidR="00BD25BA">
        <w:t xml:space="preserve"> Levels and Costs</w:t>
      </w:r>
      <w:bookmarkEnd w:id="26"/>
      <w:r w:rsidR="009C119A">
        <w:t xml:space="preserve"> </w:t>
      </w:r>
    </w:p>
    <w:tbl>
      <w:tblPr>
        <w:tblStyle w:val="GridTable2-Accent11"/>
        <w:tblW w:w="9923" w:type="dxa"/>
        <w:tblLayout w:type="fixed"/>
        <w:tblLook w:val="04A0" w:firstRow="1" w:lastRow="0" w:firstColumn="1" w:lastColumn="0" w:noHBand="0" w:noVBand="1"/>
      </w:tblPr>
      <w:tblGrid>
        <w:gridCol w:w="1560"/>
        <w:gridCol w:w="1242"/>
        <w:gridCol w:w="1417"/>
        <w:gridCol w:w="992"/>
        <w:gridCol w:w="885"/>
        <w:gridCol w:w="992"/>
        <w:gridCol w:w="850"/>
        <w:gridCol w:w="993"/>
        <w:gridCol w:w="992"/>
      </w:tblGrid>
      <w:tr w:rsidR="00EC7A19" w14:paraId="10935C07" w14:textId="77777777" w:rsidTr="009B4806">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9838ADA" w14:textId="77777777" w:rsidR="00EC7A19" w:rsidRPr="00EC7A19" w:rsidRDefault="00EC7A19" w:rsidP="00DE3CCD">
            <w:pPr>
              <w:pStyle w:val="ListParagraph"/>
              <w:ind w:left="0"/>
              <w:rPr>
                <w:sz w:val="18"/>
                <w:szCs w:val="18"/>
              </w:rPr>
            </w:pPr>
            <w:r w:rsidRPr="00EC7A19">
              <w:rPr>
                <w:rFonts w:cs="Arial"/>
                <w:bCs w:val="0"/>
                <w:color w:val="333333"/>
                <w:sz w:val="18"/>
                <w:szCs w:val="18"/>
              </w:rPr>
              <w:t>License Title</w:t>
            </w:r>
          </w:p>
        </w:tc>
        <w:tc>
          <w:tcPr>
            <w:tcW w:w="1242" w:type="dxa"/>
            <w:vAlign w:val="bottom"/>
          </w:tcPr>
          <w:p w14:paraId="2672AEA4" w14:textId="77777777" w:rsidR="00EC7A19" w:rsidRPr="00EC7A19" w:rsidRDefault="00EC7A19" w:rsidP="00DE3CCD">
            <w:pPr>
              <w:pStyle w:val="ListParagraph"/>
              <w:ind w:left="0"/>
              <w:cnfStyle w:val="100000000000" w:firstRow="1" w:lastRow="0" w:firstColumn="0" w:lastColumn="0" w:oddVBand="0" w:evenVBand="0" w:oddHBand="0" w:evenHBand="0" w:firstRowFirstColumn="0" w:firstRowLastColumn="0" w:lastRowFirstColumn="0" w:lastRowLastColumn="0"/>
              <w:rPr>
                <w:rFonts w:cs="Arial"/>
                <w:color w:val="333333"/>
                <w:sz w:val="18"/>
                <w:szCs w:val="18"/>
              </w:rPr>
            </w:pPr>
            <w:r w:rsidRPr="00EC7A19">
              <w:rPr>
                <w:rFonts w:cs="Arial"/>
                <w:bCs w:val="0"/>
                <w:color w:val="333333"/>
                <w:sz w:val="18"/>
                <w:szCs w:val="18"/>
              </w:rPr>
              <w:t>Cost (annual)</w:t>
            </w:r>
          </w:p>
        </w:tc>
        <w:tc>
          <w:tcPr>
            <w:tcW w:w="1417" w:type="dxa"/>
            <w:vAlign w:val="bottom"/>
          </w:tcPr>
          <w:p w14:paraId="18A298DB" w14:textId="77777777" w:rsidR="00EC7A19" w:rsidRPr="00EC7A19" w:rsidRDefault="00EC7A19" w:rsidP="00DE3CCD">
            <w:pPr>
              <w:cnfStyle w:val="100000000000" w:firstRow="1" w:lastRow="0" w:firstColumn="0" w:lastColumn="0" w:oddVBand="0" w:evenVBand="0" w:oddHBand="0" w:evenHBand="0" w:firstRowFirstColumn="0" w:firstRowLastColumn="0" w:lastRowFirstColumn="0" w:lastRowLastColumn="0"/>
              <w:rPr>
                <w:sz w:val="18"/>
                <w:szCs w:val="18"/>
              </w:rPr>
            </w:pPr>
            <w:r w:rsidRPr="00EC7A19">
              <w:rPr>
                <w:rFonts w:cs="Arial"/>
                <w:bCs w:val="0"/>
                <w:color w:val="333333"/>
                <w:sz w:val="18"/>
                <w:szCs w:val="18"/>
              </w:rPr>
              <w:t>Renewal Date </w:t>
            </w:r>
          </w:p>
        </w:tc>
        <w:tc>
          <w:tcPr>
            <w:tcW w:w="992" w:type="dxa"/>
            <w:vAlign w:val="bottom"/>
          </w:tcPr>
          <w:p w14:paraId="30CEC3C7" w14:textId="77777777" w:rsidR="00EC7A19" w:rsidRPr="00EC7A19" w:rsidRDefault="00EC7A19" w:rsidP="00DE3CCD">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C7A19">
              <w:rPr>
                <w:rFonts w:asciiTheme="minorHAnsi" w:hAnsiTheme="minorHAnsi" w:cs="Arial"/>
                <w:bCs w:val="0"/>
                <w:color w:val="333333"/>
                <w:sz w:val="18"/>
                <w:szCs w:val="18"/>
              </w:rPr>
              <w:t>Current Tier Level</w:t>
            </w:r>
          </w:p>
        </w:tc>
        <w:tc>
          <w:tcPr>
            <w:tcW w:w="885" w:type="dxa"/>
            <w:vAlign w:val="bottom"/>
          </w:tcPr>
          <w:p w14:paraId="0739884E" w14:textId="77777777" w:rsidR="00EC7A19" w:rsidRPr="00EC7A19" w:rsidRDefault="005268F5" w:rsidP="00DE3CCD">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bCs w:val="0"/>
                <w:color w:val="333333"/>
                <w:sz w:val="18"/>
                <w:szCs w:val="18"/>
              </w:rPr>
              <w:t>Partners</w:t>
            </w:r>
          </w:p>
        </w:tc>
        <w:tc>
          <w:tcPr>
            <w:tcW w:w="992" w:type="dxa"/>
            <w:vAlign w:val="bottom"/>
          </w:tcPr>
          <w:p w14:paraId="452ED81A" w14:textId="77777777" w:rsidR="00EC7A19" w:rsidRPr="00EC7A19" w:rsidRDefault="00EC7A19" w:rsidP="00DE3CCD">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333333"/>
                <w:sz w:val="18"/>
                <w:szCs w:val="18"/>
              </w:rPr>
            </w:pPr>
            <w:r w:rsidRPr="00EC7A19">
              <w:rPr>
                <w:rFonts w:asciiTheme="minorHAnsi" w:hAnsiTheme="minorHAnsi" w:cs="Arial"/>
                <w:bCs w:val="0"/>
                <w:color w:val="333333"/>
                <w:sz w:val="18"/>
                <w:szCs w:val="18"/>
              </w:rPr>
              <w:t>Research only?</w:t>
            </w:r>
          </w:p>
        </w:tc>
        <w:tc>
          <w:tcPr>
            <w:tcW w:w="850" w:type="dxa"/>
            <w:vAlign w:val="bottom"/>
          </w:tcPr>
          <w:p w14:paraId="31252707" w14:textId="77777777" w:rsidR="00EC7A19" w:rsidRPr="00EC7A19" w:rsidRDefault="00EC7A19" w:rsidP="00DE3CCD">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333333"/>
                <w:sz w:val="18"/>
                <w:szCs w:val="18"/>
              </w:rPr>
            </w:pPr>
            <w:r w:rsidRPr="00EC7A19">
              <w:rPr>
                <w:rFonts w:asciiTheme="minorHAnsi" w:hAnsiTheme="minorHAnsi" w:cs="Arial"/>
                <w:bCs w:val="0"/>
                <w:color w:val="333333"/>
                <w:sz w:val="18"/>
                <w:szCs w:val="18"/>
              </w:rPr>
              <w:t>Staff only?</w:t>
            </w:r>
          </w:p>
        </w:tc>
        <w:tc>
          <w:tcPr>
            <w:tcW w:w="993" w:type="dxa"/>
            <w:vAlign w:val="bottom"/>
          </w:tcPr>
          <w:p w14:paraId="7956F940" w14:textId="77777777" w:rsidR="00EC7A19" w:rsidRPr="00EC7A19" w:rsidRDefault="00EC7A19" w:rsidP="00DE3CCD">
            <w:pPr>
              <w:cnfStyle w:val="100000000000" w:firstRow="1" w:lastRow="0" w:firstColumn="0" w:lastColumn="0" w:oddVBand="0" w:evenVBand="0" w:oddHBand="0" w:evenHBand="0" w:firstRowFirstColumn="0" w:firstRowLastColumn="0" w:lastRowFirstColumn="0" w:lastRowLastColumn="0"/>
              <w:rPr>
                <w:sz w:val="18"/>
                <w:szCs w:val="18"/>
              </w:rPr>
            </w:pPr>
            <w:r w:rsidRPr="00EC7A19">
              <w:rPr>
                <w:rFonts w:cs="Arial"/>
                <w:bCs w:val="0"/>
                <w:color w:val="333333"/>
                <w:sz w:val="18"/>
                <w:szCs w:val="18"/>
              </w:rPr>
              <w:t>Number of users</w:t>
            </w:r>
          </w:p>
        </w:tc>
        <w:tc>
          <w:tcPr>
            <w:tcW w:w="992" w:type="dxa"/>
            <w:vAlign w:val="bottom"/>
          </w:tcPr>
          <w:p w14:paraId="18A517EB" w14:textId="77777777" w:rsidR="00EC7A19" w:rsidRPr="00EC7A19" w:rsidRDefault="00EC7A19" w:rsidP="00DE3CCD">
            <w:pPr>
              <w:pStyle w:val="NormalWeb"/>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333333"/>
                <w:sz w:val="18"/>
                <w:szCs w:val="18"/>
              </w:rPr>
            </w:pPr>
            <w:r w:rsidRPr="00EC7A19">
              <w:rPr>
                <w:rFonts w:asciiTheme="minorHAnsi" w:hAnsiTheme="minorHAnsi" w:cs="Arial"/>
                <w:bCs w:val="0"/>
                <w:color w:val="333333"/>
                <w:sz w:val="18"/>
                <w:szCs w:val="18"/>
              </w:rPr>
              <w:t>Proposed Tier Level</w:t>
            </w:r>
          </w:p>
        </w:tc>
      </w:tr>
      <w:tr w:rsidR="00EC7A19" w14:paraId="2F1EF351" w14:textId="77777777" w:rsidTr="009B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03E413A" w14:textId="77777777" w:rsidR="00EC7A19" w:rsidRPr="00EC7A19" w:rsidRDefault="00EC7A19" w:rsidP="00DE3CCD">
            <w:pPr>
              <w:rPr>
                <w:sz w:val="18"/>
                <w:szCs w:val="18"/>
              </w:rPr>
            </w:pPr>
            <w:r w:rsidRPr="00EC7A19">
              <w:rPr>
                <w:rFonts w:cs="Arial"/>
                <w:color w:val="333333"/>
                <w:sz w:val="18"/>
                <w:szCs w:val="18"/>
              </w:rPr>
              <w:t>Microsoft</w:t>
            </w:r>
          </w:p>
        </w:tc>
        <w:tc>
          <w:tcPr>
            <w:tcW w:w="1242" w:type="dxa"/>
          </w:tcPr>
          <w:p w14:paraId="6F5908E3" w14:textId="77777777" w:rsidR="00EC7A19" w:rsidRPr="00EC7A19" w:rsidRDefault="00EC7A19"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$350,000</w:t>
            </w:r>
          </w:p>
        </w:tc>
        <w:tc>
          <w:tcPr>
            <w:tcW w:w="1417" w:type="dxa"/>
          </w:tcPr>
          <w:p w14:paraId="45B6DCDC" w14:textId="77777777" w:rsidR="00EC7A19" w:rsidRPr="00EC7A19" w:rsidRDefault="00EC7A19"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April 30</w:t>
            </w:r>
            <w:r w:rsidRPr="00EC7A19">
              <w:rPr>
                <w:rFonts w:cs="Arial"/>
                <w:color w:val="333333"/>
                <w:sz w:val="18"/>
                <w:szCs w:val="18"/>
                <w:vertAlign w:val="superscript"/>
              </w:rPr>
              <w:t>th</w:t>
            </w:r>
            <w:r w:rsidRPr="00EC7A19">
              <w:rPr>
                <w:rFonts w:cs="Arial"/>
                <w:color w:val="333333"/>
                <w:sz w:val="18"/>
                <w:szCs w:val="18"/>
              </w:rPr>
              <w:t>, 2016</w:t>
            </w:r>
          </w:p>
        </w:tc>
        <w:tc>
          <w:tcPr>
            <w:tcW w:w="992" w:type="dxa"/>
          </w:tcPr>
          <w:p w14:paraId="1343B778" w14:textId="77777777" w:rsidR="00EC7A19" w:rsidRPr="00EC7A19" w:rsidRDefault="00EC7A19"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3</w:t>
            </w:r>
          </w:p>
        </w:tc>
        <w:tc>
          <w:tcPr>
            <w:tcW w:w="885" w:type="dxa"/>
          </w:tcPr>
          <w:p w14:paraId="27E23E60" w14:textId="77777777" w:rsidR="00EC7A19" w:rsidRPr="00EC7A19" w:rsidRDefault="00EC7A19"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n/a</w:t>
            </w:r>
          </w:p>
        </w:tc>
        <w:tc>
          <w:tcPr>
            <w:tcW w:w="992" w:type="dxa"/>
          </w:tcPr>
          <w:p w14:paraId="2D7FC32A" w14:textId="77777777" w:rsidR="00EC7A19" w:rsidRPr="00EC7A19" w:rsidRDefault="00EC7A19"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no</w:t>
            </w:r>
          </w:p>
        </w:tc>
        <w:tc>
          <w:tcPr>
            <w:tcW w:w="850" w:type="dxa"/>
          </w:tcPr>
          <w:p w14:paraId="196EF761" w14:textId="77777777" w:rsidR="00EC7A19" w:rsidRPr="00EC7A19" w:rsidRDefault="00EC7A19"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no</w:t>
            </w:r>
          </w:p>
        </w:tc>
        <w:tc>
          <w:tcPr>
            <w:tcW w:w="993" w:type="dxa"/>
          </w:tcPr>
          <w:p w14:paraId="511504E7" w14:textId="77777777" w:rsidR="00EC7A19" w:rsidRPr="00EC7A19" w:rsidRDefault="00EC7A19"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enterprise</w:t>
            </w:r>
          </w:p>
        </w:tc>
        <w:tc>
          <w:tcPr>
            <w:tcW w:w="992" w:type="dxa"/>
          </w:tcPr>
          <w:p w14:paraId="2E69E264" w14:textId="77777777" w:rsidR="00EC7A19" w:rsidRPr="00EC7A19" w:rsidRDefault="00552483" w:rsidP="00DE3CCD">
            <w:pPr>
              <w:cnfStyle w:val="000000100000" w:firstRow="0" w:lastRow="0" w:firstColumn="0" w:lastColumn="0" w:oddVBand="0" w:evenVBand="0" w:oddHBand="1" w:evenHBand="0" w:firstRowFirstColumn="0" w:firstRowLastColumn="0" w:lastRowFirstColumn="0" w:lastRowLastColumn="0"/>
              <w:rPr>
                <w:sz w:val="18"/>
                <w:szCs w:val="18"/>
              </w:rPr>
            </w:pPr>
            <w:r>
              <w:rPr>
                <w:rFonts w:cs="Arial"/>
                <w:color w:val="333333"/>
                <w:sz w:val="18"/>
                <w:szCs w:val="18"/>
              </w:rPr>
              <w:t>n/a</w:t>
            </w:r>
          </w:p>
        </w:tc>
      </w:tr>
      <w:tr w:rsidR="005268F5" w14:paraId="1BAD3A62" w14:textId="77777777" w:rsidTr="0091183C">
        <w:tc>
          <w:tcPr>
            <w:cnfStyle w:val="001000000000" w:firstRow="0" w:lastRow="0" w:firstColumn="1" w:lastColumn="0" w:oddVBand="0" w:evenVBand="0" w:oddHBand="0" w:evenHBand="0" w:firstRowFirstColumn="0" w:firstRowLastColumn="0" w:lastRowFirstColumn="0" w:lastRowLastColumn="0"/>
            <w:tcW w:w="1560" w:type="dxa"/>
          </w:tcPr>
          <w:p w14:paraId="51692DDC" w14:textId="77777777" w:rsidR="00EC7A19" w:rsidRPr="00EC7A19" w:rsidRDefault="00EC7A19" w:rsidP="00DE3CCD">
            <w:pPr>
              <w:rPr>
                <w:sz w:val="18"/>
                <w:szCs w:val="18"/>
              </w:rPr>
            </w:pPr>
            <w:r w:rsidRPr="00EC7A19">
              <w:rPr>
                <w:rFonts w:cs="Arial"/>
                <w:color w:val="333333"/>
                <w:sz w:val="18"/>
                <w:szCs w:val="18"/>
              </w:rPr>
              <w:t>Microsoft Server</w:t>
            </w:r>
          </w:p>
        </w:tc>
        <w:tc>
          <w:tcPr>
            <w:tcW w:w="1242" w:type="dxa"/>
          </w:tcPr>
          <w:p w14:paraId="4B113D0B" w14:textId="77777777" w:rsidR="00EC7A19" w:rsidRPr="00EC7A19" w:rsidRDefault="00EC7A19"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$80,000</w:t>
            </w:r>
          </w:p>
        </w:tc>
        <w:tc>
          <w:tcPr>
            <w:tcW w:w="1417" w:type="dxa"/>
          </w:tcPr>
          <w:p w14:paraId="6F5FACF4" w14:textId="77777777" w:rsidR="00EC7A19" w:rsidRPr="00EC7A19" w:rsidRDefault="00EC7A19"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April 30</w:t>
            </w:r>
            <w:r w:rsidRPr="00EC7A19">
              <w:rPr>
                <w:rFonts w:cs="Arial"/>
                <w:color w:val="333333"/>
                <w:sz w:val="18"/>
                <w:szCs w:val="18"/>
                <w:vertAlign w:val="superscript"/>
              </w:rPr>
              <w:t>th</w:t>
            </w:r>
            <w:r w:rsidRPr="00EC7A19">
              <w:rPr>
                <w:rFonts w:cs="Arial"/>
                <w:color w:val="333333"/>
                <w:sz w:val="18"/>
                <w:szCs w:val="18"/>
              </w:rPr>
              <w:t>, 2016</w:t>
            </w:r>
          </w:p>
        </w:tc>
        <w:tc>
          <w:tcPr>
            <w:tcW w:w="992" w:type="dxa"/>
          </w:tcPr>
          <w:p w14:paraId="447B044D" w14:textId="77777777" w:rsidR="00EC7A19" w:rsidRPr="00EC7A19" w:rsidRDefault="00EC7A19"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2</w:t>
            </w:r>
          </w:p>
        </w:tc>
        <w:tc>
          <w:tcPr>
            <w:tcW w:w="885" w:type="dxa"/>
          </w:tcPr>
          <w:p w14:paraId="3E60DAF6" w14:textId="77777777" w:rsidR="00EC7A19" w:rsidRPr="00EC7A19" w:rsidRDefault="00EC7A19"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10</w:t>
            </w:r>
          </w:p>
        </w:tc>
        <w:tc>
          <w:tcPr>
            <w:tcW w:w="992" w:type="dxa"/>
          </w:tcPr>
          <w:p w14:paraId="24BCD2CE" w14:textId="77777777" w:rsidR="00EC7A19" w:rsidRPr="00EC7A19" w:rsidRDefault="00EC7A19"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no</w:t>
            </w:r>
          </w:p>
        </w:tc>
        <w:tc>
          <w:tcPr>
            <w:tcW w:w="850" w:type="dxa"/>
          </w:tcPr>
          <w:p w14:paraId="7AEFEE97" w14:textId="77777777" w:rsidR="00EC7A19" w:rsidRPr="00EC7A19" w:rsidRDefault="00EC7A19"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no</w:t>
            </w:r>
          </w:p>
        </w:tc>
        <w:tc>
          <w:tcPr>
            <w:tcW w:w="993" w:type="dxa"/>
          </w:tcPr>
          <w:p w14:paraId="61A11B2D" w14:textId="77777777" w:rsidR="00EC7A19" w:rsidRPr="00EC7A19" w:rsidRDefault="00EC7A19"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enterprise</w:t>
            </w:r>
          </w:p>
        </w:tc>
        <w:tc>
          <w:tcPr>
            <w:tcW w:w="992" w:type="dxa"/>
          </w:tcPr>
          <w:p w14:paraId="7C9C8528" w14:textId="77777777" w:rsidR="00EC7A19" w:rsidRPr="00EC7A19" w:rsidRDefault="00EC7A19"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2</w:t>
            </w:r>
          </w:p>
        </w:tc>
      </w:tr>
      <w:tr w:rsidR="00B36C1F" w14:paraId="06DF3EE9" w14:textId="77777777" w:rsidTr="009B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FA575FA" w14:textId="77777777" w:rsidR="00B36C1F" w:rsidRPr="00EC7A19" w:rsidRDefault="00B36C1F" w:rsidP="00DE3CCD">
            <w:pPr>
              <w:rPr>
                <w:sz w:val="18"/>
                <w:szCs w:val="18"/>
              </w:rPr>
            </w:pPr>
            <w:r w:rsidRPr="00EC7A19">
              <w:rPr>
                <w:rFonts w:cs="Arial"/>
                <w:color w:val="333333"/>
                <w:sz w:val="18"/>
                <w:szCs w:val="18"/>
              </w:rPr>
              <w:t>SAS</w:t>
            </w:r>
          </w:p>
        </w:tc>
        <w:tc>
          <w:tcPr>
            <w:tcW w:w="1242" w:type="dxa"/>
          </w:tcPr>
          <w:p w14:paraId="69ABD062"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w:t>
            </w:r>
            <w:r>
              <w:rPr>
                <w:rFonts w:cs="Arial"/>
                <w:color w:val="333333"/>
                <w:sz w:val="18"/>
                <w:szCs w:val="18"/>
              </w:rPr>
              <w:t>7</w:t>
            </w:r>
            <w:r w:rsidRPr="00EC7A19">
              <w:rPr>
                <w:rFonts w:cs="Arial"/>
                <w:color w:val="333333"/>
                <w:sz w:val="18"/>
                <w:szCs w:val="18"/>
              </w:rPr>
              <w:t>,000</w:t>
            </w:r>
          </w:p>
        </w:tc>
        <w:tc>
          <w:tcPr>
            <w:tcW w:w="1417" w:type="dxa"/>
          </w:tcPr>
          <w:p w14:paraId="7F663443"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April 30</w:t>
            </w:r>
            <w:r w:rsidRPr="00EC7A19">
              <w:rPr>
                <w:rFonts w:cs="Arial"/>
                <w:color w:val="333333"/>
                <w:sz w:val="18"/>
                <w:szCs w:val="18"/>
                <w:vertAlign w:val="superscript"/>
              </w:rPr>
              <w:t>th</w:t>
            </w:r>
            <w:r w:rsidRPr="00EC7A19">
              <w:rPr>
                <w:rFonts w:cs="Arial"/>
                <w:color w:val="333333"/>
                <w:sz w:val="18"/>
                <w:szCs w:val="18"/>
              </w:rPr>
              <w:t>, 2016</w:t>
            </w:r>
          </w:p>
        </w:tc>
        <w:tc>
          <w:tcPr>
            <w:tcW w:w="992" w:type="dxa"/>
          </w:tcPr>
          <w:p w14:paraId="0EEFE76D"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2</w:t>
            </w:r>
          </w:p>
        </w:tc>
        <w:tc>
          <w:tcPr>
            <w:tcW w:w="885" w:type="dxa"/>
          </w:tcPr>
          <w:p w14:paraId="248E0875"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17</w:t>
            </w:r>
          </w:p>
        </w:tc>
        <w:tc>
          <w:tcPr>
            <w:tcW w:w="992" w:type="dxa"/>
          </w:tcPr>
          <w:p w14:paraId="77E72B65"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yes</w:t>
            </w:r>
          </w:p>
        </w:tc>
        <w:tc>
          <w:tcPr>
            <w:tcW w:w="850" w:type="dxa"/>
          </w:tcPr>
          <w:p w14:paraId="7A78B90D"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yes</w:t>
            </w:r>
          </w:p>
        </w:tc>
        <w:tc>
          <w:tcPr>
            <w:tcW w:w="993" w:type="dxa"/>
          </w:tcPr>
          <w:p w14:paraId="04600F34"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34</w:t>
            </w:r>
          </w:p>
        </w:tc>
        <w:tc>
          <w:tcPr>
            <w:tcW w:w="992" w:type="dxa"/>
          </w:tcPr>
          <w:p w14:paraId="7433EB85"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Pr>
                <w:rFonts w:cs="Arial"/>
                <w:color w:val="333333"/>
                <w:sz w:val="18"/>
                <w:szCs w:val="18"/>
              </w:rPr>
              <w:t>3</w:t>
            </w:r>
          </w:p>
        </w:tc>
      </w:tr>
      <w:tr w:rsidR="00B36C1F" w14:paraId="694B608E" w14:textId="77777777" w:rsidTr="0091183C">
        <w:tc>
          <w:tcPr>
            <w:cnfStyle w:val="001000000000" w:firstRow="0" w:lastRow="0" w:firstColumn="1" w:lastColumn="0" w:oddVBand="0" w:evenVBand="0" w:oddHBand="0" w:evenHBand="0" w:firstRowFirstColumn="0" w:firstRowLastColumn="0" w:lastRowFirstColumn="0" w:lastRowLastColumn="0"/>
            <w:tcW w:w="1560" w:type="dxa"/>
          </w:tcPr>
          <w:p w14:paraId="3D7D3235" w14:textId="77777777" w:rsidR="00B36C1F" w:rsidRPr="00EC7A19" w:rsidRDefault="00B36C1F" w:rsidP="00DE3CCD">
            <w:pPr>
              <w:rPr>
                <w:sz w:val="18"/>
                <w:szCs w:val="18"/>
              </w:rPr>
            </w:pPr>
            <w:r w:rsidRPr="00EC7A19">
              <w:rPr>
                <w:rFonts w:cs="Arial"/>
                <w:color w:val="333333"/>
                <w:sz w:val="18"/>
                <w:szCs w:val="18"/>
              </w:rPr>
              <w:t>SPSS</w:t>
            </w:r>
          </w:p>
        </w:tc>
        <w:tc>
          <w:tcPr>
            <w:tcW w:w="1242" w:type="dxa"/>
          </w:tcPr>
          <w:p w14:paraId="06FBF2A0"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w:t>
            </w:r>
            <w:r>
              <w:rPr>
                <w:rFonts w:cs="Arial"/>
                <w:color w:val="333333"/>
                <w:sz w:val="18"/>
                <w:szCs w:val="18"/>
              </w:rPr>
              <w:t>90</w:t>
            </w:r>
            <w:r w:rsidRPr="00EC7A19">
              <w:rPr>
                <w:rFonts w:cs="Arial"/>
                <w:color w:val="333333"/>
                <w:sz w:val="18"/>
                <w:szCs w:val="18"/>
              </w:rPr>
              <w:t>,000 </w:t>
            </w:r>
          </w:p>
        </w:tc>
        <w:tc>
          <w:tcPr>
            <w:tcW w:w="1417" w:type="dxa"/>
          </w:tcPr>
          <w:p w14:paraId="0A978FA9"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Nov 30</w:t>
            </w:r>
            <w:r w:rsidRPr="00EC7A19">
              <w:rPr>
                <w:rFonts w:cs="Arial"/>
                <w:color w:val="333333"/>
                <w:sz w:val="18"/>
                <w:szCs w:val="18"/>
                <w:vertAlign w:val="superscript"/>
              </w:rPr>
              <w:t>th</w:t>
            </w:r>
            <w:r w:rsidRPr="00EC7A19">
              <w:rPr>
                <w:rFonts w:cs="Arial"/>
                <w:color w:val="333333"/>
                <w:sz w:val="18"/>
                <w:szCs w:val="18"/>
              </w:rPr>
              <w:t>, 2016 </w:t>
            </w:r>
          </w:p>
        </w:tc>
        <w:tc>
          <w:tcPr>
            <w:tcW w:w="992" w:type="dxa"/>
          </w:tcPr>
          <w:p w14:paraId="736F0E53"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2</w:t>
            </w:r>
          </w:p>
        </w:tc>
        <w:tc>
          <w:tcPr>
            <w:tcW w:w="885" w:type="dxa"/>
          </w:tcPr>
          <w:p w14:paraId="06856E62"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35</w:t>
            </w:r>
          </w:p>
        </w:tc>
        <w:tc>
          <w:tcPr>
            <w:tcW w:w="992" w:type="dxa"/>
          </w:tcPr>
          <w:p w14:paraId="47E84C31"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yes</w:t>
            </w:r>
          </w:p>
        </w:tc>
        <w:tc>
          <w:tcPr>
            <w:tcW w:w="850" w:type="dxa"/>
          </w:tcPr>
          <w:p w14:paraId="35BFBC2F"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yes</w:t>
            </w:r>
          </w:p>
        </w:tc>
        <w:tc>
          <w:tcPr>
            <w:tcW w:w="993" w:type="dxa"/>
          </w:tcPr>
          <w:p w14:paraId="17A31C63"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409</w:t>
            </w:r>
          </w:p>
        </w:tc>
        <w:tc>
          <w:tcPr>
            <w:tcW w:w="992" w:type="dxa"/>
          </w:tcPr>
          <w:p w14:paraId="6784B61D"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Pr>
                <w:rFonts w:cs="Arial"/>
                <w:color w:val="333333"/>
                <w:sz w:val="18"/>
                <w:szCs w:val="18"/>
              </w:rPr>
              <w:t>3</w:t>
            </w:r>
          </w:p>
        </w:tc>
      </w:tr>
      <w:tr w:rsidR="00B36C1F" w14:paraId="76257B89" w14:textId="77777777" w:rsidTr="009B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BC4289E" w14:textId="77777777" w:rsidR="00B36C1F" w:rsidRPr="00EC7A19" w:rsidRDefault="00B36C1F" w:rsidP="00DE3CCD">
            <w:pPr>
              <w:rPr>
                <w:sz w:val="18"/>
                <w:szCs w:val="18"/>
              </w:rPr>
            </w:pPr>
            <w:r w:rsidRPr="00EC7A19">
              <w:rPr>
                <w:rFonts w:cs="Arial"/>
                <w:color w:val="333333"/>
                <w:sz w:val="18"/>
                <w:szCs w:val="18"/>
              </w:rPr>
              <w:t>ARC-GIS</w:t>
            </w:r>
          </w:p>
        </w:tc>
        <w:tc>
          <w:tcPr>
            <w:tcW w:w="1242" w:type="dxa"/>
          </w:tcPr>
          <w:p w14:paraId="7F56E0A1"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w:t>
            </w:r>
            <w:r>
              <w:rPr>
                <w:rFonts w:cs="Arial"/>
                <w:color w:val="333333"/>
                <w:sz w:val="18"/>
                <w:szCs w:val="18"/>
              </w:rPr>
              <w:t>25</w:t>
            </w:r>
            <w:r w:rsidRPr="00EC7A19">
              <w:rPr>
                <w:rFonts w:cs="Arial"/>
                <w:color w:val="333333"/>
                <w:sz w:val="18"/>
                <w:szCs w:val="18"/>
              </w:rPr>
              <w:t>,000</w:t>
            </w:r>
          </w:p>
        </w:tc>
        <w:tc>
          <w:tcPr>
            <w:tcW w:w="1417" w:type="dxa"/>
          </w:tcPr>
          <w:p w14:paraId="42F47946"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April 30</w:t>
            </w:r>
            <w:r w:rsidRPr="00EC7A19">
              <w:rPr>
                <w:rFonts w:cs="Arial"/>
                <w:color w:val="333333"/>
                <w:sz w:val="18"/>
                <w:szCs w:val="18"/>
                <w:vertAlign w:val="superscript"/>
              </w:rPr>
              <w:t>th</w:t>
            </w:r>
            <w:r w:rsidRPr="00EC7A19">
              <w:rPr>
                <w:rFonts w:cs="Arial"/>
                <w:color w:val="333333"/>
                <w:sz w:val="18"/>
                <w:szCs w:val="18"/>
              </w:rPr>
              <w:t>, 2016</w:t>
            </w:r>
          </w:p>
        </w:tc>
        <w:tc>
          <w:tcPr>
            <w:tcW w:w="992" w:type="dxa"/>
          </w:tcPr>
          <w:p w14:paraId="37DD44C7"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2</w:t>
            </w:r>
          </w:p>
        </w:tc>
        <w:tc>
          <w:tcPr>
            <w:tcW w:w="885" w:type="dxa"/>
          </w:tcPr>
          <w:p w14:paraId="3EA451AC"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5</w:t>
            </w:r>
          </w:p>
        </w:tc>
        <w:tc>
          <w:tcPr>
            <w:tcW w:w="992" w:type="dxa"/>
          </w:tcPr>
          <w:p w14:paraId="40DE02FC"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no</w:t>
            </w:r>
          </w:p>
        </w:tc>
        <w:tc>
          <w:tcPr>
            <w:tcW w:w="850" w:type="dxa"/>
          </w:tcPr>
          <w:p w14:paraId="20254CAC"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no</w:t>
            </w:r>
          </w:p>
        </w:tc>
        <w:tc>
          <w:tcPr>
            <w:tcW w:w="993" w:type="dxa"/>
          </w:tcPr>
          <w:p w14:paraId="51FB3521"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320</w:t>
            </w:r>
          </w:p>
        </w:tc>
        <w:tc>
          <w:tcPr>
            <w:tcW w:w="992" w:type="dxa"/>
          </w:tcPr>
          <w:p w14:paraId="2D321A3E"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Pr>
                <w:rFonts w:cs="Arial"/>
                <w:color w:val="333333"/>
                <w:sz w:val="18"/>
                <w:szCs w:val="18"/>
              </w:rPr>
              <w:t>3</w:t>
            </w:r>
          </w:p>
        </w:tc>
      </w:tr>
      <w:tr w:rsidR="00B36C1F" w14:paraId="7031C5C8" w14:textId="77777777" w:rsidTr="0091183C">
        <w:tc>
          <w:tcPr>
            <w:cnfStyle w:val="001000000000" w:firstRow="0" w:lastRow="0" w:firstColumn="1" w:lastColumn="0" w:oddVBand="0" w:evenVBand="0" w:oddHBand="0" w:evenHBand="0" w:firstRowFirstColumn="0" w:firstRowLastColumn="0" w:lastRowFirstColumn="0" w:lastRowLastColumn="0"/>
            <w:tcW w:w="1560" w:type="dxa"/>
          </w:tcPr>
          <w:p w14:paraId="17012DC2" w14:textId="77777777" w:rsidR="00B36C1F" w:rsidRPr="00EC7A19" w:rsidRDefault="00B36C1F" w:rsidP="00DE3CCD">
            <w:pPr>
              <w:rPr>
                <w:sz w:val="18"/>
                <w:szCs w:val="18"/>
              </w:rPr>
            </w:pPr>
            <w:r w:rsidRPr="00EC7A19">
              <w:rPr>
                <w:rFonts w:cs="Arial"/>
                <w:color w:val="333333"/>
                <w:sz w:val="18"/>
                <w:szCs w:val="18"/>
              </w:rPr>
              <w:t>Maple</w:t>
            </w:r>
          </w:p>
        </w:tc>
        <w:tc>
          <w:tcPr>
            <w:tcW w:w="1242" w:type="dxa"/>
          </w:tcPr>
          <w:p w14:paraId="2345300A"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$12,000</w:t>
            </w:r>
          </w:p>
        </w:tc>
        <w:tc>
          <w:tcPr>
            <w:tcW w:w="1417" w:type="dxa"/>
          </w:tcPr>
          <w:p w14:paraId="3050AAD4"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April 30</w:t>
            </w:r>
            <w:r w:rsidRPr="00EC7A19">
              <w:rPr>
                <w:rFonts w:cs="Arial"/>
                <w:color w:val="333333"/>
                <w:sz w:val="18"/>
                <w:szCs w:val="18"/>
                <w:vertAlign w:val="superscript"/>
              </w:rPr>
              <w:t>th</w:t>
            </w:r>
            <w:r w:rsidRPr="00EC7A19">
              <w:rPr>
                <w:rFonts w:cs="Arial"/>
                <w:color w:val="333333"/>
                <w:sz w:val="18"/>
                <w:szCs w:val="18"/>
              </w:rPr>
              <w:t>, 2016</w:t>
            </w:r>
          </w:p>
        </w:tc>
        <w:tc>
          <w:tcPr>
            <w:tcW w:w="992" w:type="dxa"/>
          </w:tcPr>
          <w:p w14:paraId="21B64D86"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3</w:t>
            </w:r>
          </w:p>
        </w:tc>
        <w:tc>
          <w:tcPr>
            <w:tcW w:w="885" w:type="dxa"/>
          </w:tcPr>
          <w:p w14:paraId="69C8E498"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3</w:t>
            </w:r>
          </w:p>
        </w:tc>
        <w:tc>
          <w:tcPr>
            <w:tcW w:w="992" w:type="dxa"/>
          </w:tcPr>
          <w:p w14:paraId="5AF69008"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no</w:t>
            </w:r>
          </w:p>
        </w:tc>
        <w:tc>
          <w:tcPr>
            <w:tcW w:w="850" w:type="dxa"/>
          </w:tcPr>
          <w:p w14:paraId="40006390"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no</w:t>
            </w:r>
          </w:p>
        </w:tc>
        <w:tc>
          <w:tcPr>
            <w:tcW w:w="993" w:type="dxa"/>
          </w:tcPr>
          <w:p w14:paraId="69F8714A"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unknown</w:t>
            </w:r>
          </w:p>
        </w:tc>
        <w:tc>
          <w:tcPr>
            <w:tcW w:w="992" w:type="dxa"/>
          </w:tcPr>
          <w:p w14:paraId="7B1F05E3" w14:textId="77777777" w:rsidR="00B36C1F" w:rsidRPr="00EC7A19" w:rsidRDefault="00552483" w:rsidP="00DE3CCD">
            <w:pPr>
              <w:cnfStyle w:val="000000000000" w:firstRow="0" w:lastRow="0" w:firstColumn="0" w:lastColumn="0" w:oddVBand="0" w:evenVBand="0" w:oddHBand="0" w:evenHBand="0" w:firstRowFirstColumn="0" w:firstRowLastColumn="0" w:lastRowFirstColumn="0" w:lastRowLastColumn="0"/>
              <w:rPr>
                <w:sz w:val="18"/>
                <w:szCs w:val="18"/>
              </w:rPr>
            </w:pPr>
            <w:r>
              <w:rPr>
                <w:rFonts w:cs="Arial"/>
                <w:color w:val="333333"/>
                <w:sz w:val="18"/>
                <w:szCs w:val="18"/>
              </w:rPr>
              <w:t>3</w:t>
            </w:r>
          </w:p>
        </w:tc>
      </w:tr>
      <w:tr w:rsidR="00B36C1F" w14:paraId="0F203BF3" w14:textId="77777777" w:rsidTr="009B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07D6E49" w14:textId="77777777" w:rsidR="00B36C1F" w:rsidRPr="00EC7A19" w:rsidRDefault="00B36C1F" w:rsidP="00DE3CCD">
            <w:pPr>
              <w:rPr>
                <w:sz w:val="18"/>
                <w:szCs w:val="18"/>
              </w:rPr>
            </w:pPr>
            <w:r w:rsidRPr="00EC7A19">
              <w:rPr>
                <w:rFonts w:cs="Arial"/>
                <w:color w:val="333333"/>
                <w:sz w:val="18"/>
                <w:szCs w:val="18"/>
              </w:rPr>
              <w:t>MatLab (ITS)</w:t>
            </w:r>
          </w:p>
        </w:tc>
        <w:tc>
          <w:tcPr>
            <w:tcW w:w="1242" w:type="dxa"/>
          </w:tcPr>
          <w:p w14:paraId="26FCBE43"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$15,000</w:t>
            </w:r>
          </w:p>
        </w:tc>
        <w:tc>
          <w:tcPr>
            <w:tcW w:w="1417" w:type="dxa"/>
          </w:tcPr>
          <w:p w14:paraId="491BDEB7"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June 30</w:t>
            </w:r>
            <w:r w:rsidRPr="00EC7A19">
              <w:rPr>
                <w:rFonts w:cs="Arial"/>
                <w:color w:val="333333"/>
                <w:sz w:val="18"/>
                <w:szCs w:val="18"/>
                <w:vertAlign w:val="superscript"/>
              </w:rPr>
              <w:t>th</w:t>
            </w:r>
            <w:r w:rsidRPr="00EC7A19">
              <w:rPr>
                <w:rFonts w:cs="Arial"/>
                <w:color w:val="333333"/>
                <w:sz w:val="18"/>
                <w:szCs w:val="18"/>
              </w:rPr>
              <w:t>, 2016</w:t>
            </w:r>
          </w:p>
        </w:tc>
        <w:tc>
          <w:tcPr>
            <w:tcW w:w="992" w:type="dxa"/>
          </w:tcPr>
          <w:p w14:paraId="4D3BEC2B"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2</w:t>
            </w:r>
          </w:p>
        </w:tc>
        <w:tc>
          <w:tcPr>
            <w:tcW w:w="885" w:type="dxa"/>
          </w:tcPr>
          <w:p w14:paraId="0EE017B9"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1</w:t>
            </w:r>
          </w:p>
        </w:tc>
        <w:tc>
          <w:tcPr>
            <w:tcW w:w="992" w:type="dxa"/>
          </w:tcPr>
          <w:p w14:paraId="45FACF7A"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no</w:t>
            </w:r>
          </w:p>
        </w:tc>
        <w:tc>
          <w:tcPr>
            <w:tcW w:w="850" w:type="dxa"/>
          </w:tcPr>
          <w:p w14:paraId="41F648CC"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yes</w:t>
            </w:r>
          </w:p>
        </w:tc>
        <w:tc>
          <w:tcPr>
            <w:tcW w:w="993" w:type="dxa"/>
          </w:tcPr>
          <w:p w14:paraId="20538CE8"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500</w:t>
            </w:r>
          </w:p>
        </w:tc>
        <w:tc>
          <w:tcPr>
            <w:tcW w:w="992" w:type="dxa"/>
          </w:tcPr>
          <w:p w14:paraId="40516F1B" w14:textId="77777777" w:rsidR="00B36C1F" w:rsidRPr="00EC7A19" w:rsidRDefault="00552483" w:rsidP="00DE3CCD">
            <w:pPr>
              <w:cnfStyle w:val="000000100000" w:firstRow="0" w:lastRow="0" w:firstColumn="0" w:lastColumn="0" w:oddVBand="0" w:evenVBand="0" w:oddHBand="1" w:evenHBand="0" w:firstRowFirstColumn="0" w:firstRowLastColumn="0" w:lastRowFirstColumn="0" w:lastRowLastColumn="0"/>
              <w:rPr>
                <w:sz w:val="18"/>
                <w:szCs w:val="18"/>
              </w:rPr>
            </w:pPr>
            <w:r>
              <w:rPr>
                <w:rFonts w:cs="Arial"/>
                <w:color w:val="333333"/>
                <w:sz w:val="18"/>
                <w:szCs w:val="18"/>
              </w:rPr>
              <w:t>n/a</w:t>
            </w:r>
          </w:p>
        </w:tc>
      </w:tr>
      <w:tr w:rsidR="00B36C1F" w14:paraId="30036532" w14:textId="77777777" w:rsidTr="0091183C">
        <w:tc>
          <w:tcPr>
            <w:cnfStyle w:val="001000000000" w:firstRow="0" w:lastRow="0" w:firstColumn="1" w:lastColumn="0" w:oddVBand="0" w:evenVBand="0" w:oddHBand="0" w:evenHBand="0" w:firstRowFirstColumn="0" w:firstRowLastColumn="0" w:lastRowFirstColumn="0" w:lastRowLastColumn="0"/>
            <w:tcW w:w="1560" w:type="dxa"/>
          </w:tcPr>
          <w:p w14:paraId="62A88449" w14:textId="08A4502B" w:rsidR="00B36C1F" w:rsidRPr="00EC7A19" w:rsidRDefault="00B36C1F" w:rsidP="00DE3CCD">
            <w:pPr>
              <w:rPr>
                <w:sz w:val="18"/>
                <w:szCs w:val="18"/>
              </w:rPr>
            </w:pPr>
            <w:r w:rsidRPr="00EC7A19">
              <w:rPr>
                <w:rFonts w:cs="Arial"/>
                <w:color w:val="333333"/>
                <w:sz w:val="18"/>
                <w:szCs w:val="18"/>
              </w:rPr>
              <w:t xml:space="preserve">MatLab </w:t>
            </w:r>
            <w:r>
              <w:rPr>
                <w:rFonts w:cs="Arial"/>
                <w:color w:val="333333"/>
                <w:sz w:val="18"/>
                <w:szCs w:val="18"/>
              </w:rPr>
              <w:t>(</w:t>
            </w:r>
            <w:r w:rsidR="005E47C4">
              <w:rPr>
                <w:rFonts w:cs="Arial"/>
                <w:color w:val="333333"/>
                <w:sz w:val="18"/>
                <w:szCs w:val="18"/>
              </w:rPr>
              <w:t>Dept.</w:t>
            </w:r>
            <w:r w:rsidRPr="00EC7A19">
              <w:rPr>
                <w:rFonts w:cs="Arial"/>
                <w:color w:val="333333"/>
                <w:sz w:val="18"/>
                <w:szCs w:val="18"/>
              </w:rPr>
              <w:t>)</w:t>
            </w:r>
          </w:p>
        </w:tc>
        <w:tc>
          <w:tcPr>
            <w:tcW w:w="1242" w:type="dxa"/>
          </w:tcPr>
          <w:p w14:paraId="75E7C865"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$32,000</w:t>
            </w:r>
          </w:p>
        </w:tc>
        <w:tc>
          <w:tcPr>
            <w:tcW w:w="1417" w:type="dxa"/>
          </w:tcPr>
          <w:p w14:paraId="57FFCFC3" w14:textId="77777777" w:rsidR="00B36C1F" w:rsidRPr="00EC7A19" w:rsidRDefault="00552483"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V</w:t>
            </w:r>
            <w:r w:rsidR="00B36C1F" w:rsidRPr="00EC7A19">
              <w:rPr>
                <w:rFonts w:cs="Arial"/>
                <w:color w:val="333333"/>
                <w:sz w:val="18"/>
                <w:szCs w:val="18"/>
              </w:rPr>
              <w:t>arious</w:t>
            </w:r>
          </w:p>
        </w:tc>
        <w:tc>
          <w:tcPr>
            <w:tcW w:w="992" w:type="dxa"/>
          </w:tcPr>
          <w:p w14:paraId="0BD25C76"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1</w:t>
            </w:r>
          </w:p>
        </w:tc>
        <w:tc>
          <w:tcPr>
            <w:tcW w:w="885" w:type="dxa"/>
          </w:tcPr>
          <w:p w14:paraId="2031CE92"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14:paraId="31CE7741"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no</w:t>
            </w:r>
          </w:p>
        </w:tc>
        <w:tc>
          <w:tcPr>
            <w:tcW w:w="850" w:type="dxa"/>
          </w:tcPr>
          <w:p w14:paraId="58C1C5A3"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rFonts w:cs="Arial"/>
                <w:color w:val="333333"/>
                <w:sz w:val="18"/>
                <w:szCs w:val="18"/>
              </w:rPr>
              <w:t>yes</w:t>
            </w:r>
          </w:p>
        </w:tc>
        <w:tc>
          <w:tcPr>
            <w:tcW w:w="993" w:type="dxa"/>
          </w:tcPr>
          <w:p w14:paraId="1CC7F3EE"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r w:rsidRPr="00EC7A19">
              <w:rPr>
                <w:sz w:val="18"/>
                <w:szCs w:val="18"/>
              </w:rPr>
              <w:t>unknown</w:t>
            </w:r>
          </w:p>
        </w:tc>
        <w:tc>
          <w:tcPr>
            <w:tcW w:w="992" w:type="dxa"/>
          </w:tcPr>
          <w:p w14:paraId="3DE5B2A6" w14:textId="77777777" w:rsidR="00B36C1F" w:rsidRPr="00EC7A19" w:rsidRDefault="00552483" w:rsidP="00DE3CCD">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n/a</w:t>
            </w:r>
          </w:p>
        </w:tc>
      </w:tr>
      <w:tr w:rsidR="00B36C1F" w14:paraId="267F9761" w14:textId="77777777" w:rsidTr="009B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D4DEF4E" w14:textId="77777777" w:rsidR="00B36C1F" w:rsidRPr="00EC7A19" w:rsidRDefault="00B36C1F" w:rsidP="00DE3CCD">
            <w:pPr>
              <w:rPr>
                <w:sz w:val="18"/>
                <w:szCs w:val="18"/>
              </w:rPr>
            </w:pPr>
            <w:r w:rsidRPr="00EC7A19">
              <w:rPr>
                <w:rFonts w:cs="Arial"/>
                <w:color w:val="333333"/>
                <w:sz w:val="18"/>
                <w:szCs w:val="18"/>
              </w:rPr>
              <w:t>MatLab (Campus)</w:t>
            </w:r>
          </w:p>
        </w:tc>
        <w:tc>
          <w:tcPr>
            <w:tcW w:w="1242" w:type="dxa"/>
          </w:tcPr>
          <w:p w14:paraId="01E24966"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$80,000</w:t>
            </w:r>
          </w:p>
        </w:tc>
        <w:tc>
          <w:tcPr>
            <w:tcW w:w="1417" w:type="dxa"/>
          </w:tcPr>
          <w:p w14:paraId="61267B29"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n/a</w:t>
            </w:r>
          </w:p>
        </w:tc>
        <w:tc>
          <w:tcPr>
            <w:tcW w:w="992" w:type="dxa"/>
          </w:tcPr>
          <w:p w14:paraId="1C4FBB13"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n/a</w:t>
            </w:r>
          </w:p>
        </w:tc>
        <w:tc>
          <w:tcPr>
            <w:tcW w:w="885" w:type="dxa"/>
          </w:tcPr>
          <w:p w14:paraId="39C896F4"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n/a</w:t>
            </w:r>
          </w:p>
        </w:tc>
        <w:tc>
          <w:tcPr>
            <w:tcW w:w="992" w:type="dxa"/>
          </w:tcPr>
          <w:p w14:paraId="5F53DA51"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no</w:t>
            </w:r>
          </w:p>
        </w:tc>
        <w:tc>
          <w:tcPr>
            <w:tcW w:w="850" w:type="dxa"/>
          </w:tcPr>
          <w:p w14:paraId="2EEB40CD"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no</w:t>
            </w:r>
          </w:p>
        </w:tc>
        <w:tc>
          <w:tcPr>
            <w:tcW w:w="993" w:type="dxa"/>
          </w:tcPr>
          <w:p w14:paraId="1221B71E" w14:textId="77777777" w:rsidR="00B36C1F" w:rsidRPr="00EC7A19" w:rsidRDefault="00B36C1F" w:rsidP="00DE3CCD">
            <w:pPr>
              <w:cnfStyle w:val="000000100000" w:firstRow="0" w:lastRow="0" w:firstColumn="0" w:lastColumn="0" w:oddVBand="0" w:evenVBand="0" w:oddHBand="1" w:evenHBand="0" w:firstRowFirstColumn="0" w:firstRowLastColumn="0" w:lastRowFirstColumn="0" w:lastRowLastColumn="0"/>
              <w:rPr>
                <w:sz w:val="18"/>
                <w:szCs w:val="18"/>
              </w:rPr>
            </w:pPr>
            <w:r w:rsidRPr="00EC7A19">
              <w:rPr>
                <w:rFonts w:cs="Arial"/>
                <w:color w:val="333333"/>
                <w:sz w:val="18"/>
                <w:szCs w:val="18"/>
              </w:rPr>
              <w:t>enterprise</w:t>
            </w:r>
          </w:p>
        </w:tc>
        <w:tc>
          <w:tcPr>
            <w:tcW w:w="992" w:type="dxa"/>
          </w:tcPr>
          <w:p w14:paraId="327AA7AE" w14:textId="77777777" w:rsidR="00B36C1F" w:rsidRPr="00EC7A19" w:rsidRDefault="00552483" w:rsidP="00DE3CC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p>
        </w:tc>
      </w:tr>
      <w:tr w:rsidR="00B36C1F" w14:paraId="7636DE1C" w14:textId="77777777" w:rsidTr="0091183C">
        <w:tc>
          <w:tcPr>
            <w:cnfStyle w:val="001000000000" w:firstRow="0" w:lastRow="0" w:firstColumn="1" w:lastColumn="0" w:oddVBand="0" w:evenVBand="0" w:oddHBand="0" w:evenHBand="0" w:firstRowFirstColumn="0" w:firstRowLastColumn="0" w:lastRowFirstColumn="0" w:lastRowLastColumn="0"/>
            <w:tcW w:w="1560" w:type="dxa"/>
          </w:tcPr>
          <w:p w14:paraId="07DF1D90" w14:textId="77777777" w:rsidR="00B36C1F" w:rsidRPr="00EC7A19" w:rsidRDefault="00B36C1F" w:rsidP="00DE3CCD">
            <w:pPr>
              <w:rPr>
                <w:sz w:val="18"/>
                <w:szCs w:val="18"/>
              </w:rPr>
            </w:pPr>
          </w:p>
        </w:tc>
        <w:tc>
          <w:tcPr>
            <w:tcW w:w="1242" w:type="dxa"/>
          </w:tcPr>
          <w:p w14:paraId="157DCF11"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c>
          <w:tcPr>
            <w:tcW w:w="1417" w:type="dxa"/>
          </w:tcPr>
          <w:p w14:paraId="167D8A08"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14:paraId="692519FD"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c>
          <w:tcPr>
            <w:tcW w:w="885" w:type="dxa"/>
          </w:tcPr>
          <w:p w14:paraId="4F62EAE2"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14:paraId="20D9B021"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c>
          <w:tcPr>
            <w:tcW w:w="850" w:type="dxa"/>
          </w:tcPr>
          <w:p w14:paraId="5A46952A"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Pr>
          <w:p w14:paraId="60D5486B"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c>
          <w:tcPr>
            <w:tcW w:w="992" w:type="dxa"/>
          </w:tcPr>
          <w:p w14:paraId="71481ABE" w14:textId="77777777" w:rsidR="00B36C1F" w:rsidRPr="00EC7A19" w:rsidRDefault="00B36C1F" w:rsidP="00DE3CCD">
            <w:pPr>
              <w:cnfStyle w:val="000000000000" w:firstRow="0" w:lastRow="0" w:firstColumn="0" w:lastColumn="0" w:oddVBand="0" w:evenVBand="0" w:oddHBand="0" w:evenHBand="0" w:firstRowFirstColumn="0" w:firstRowLastColumn="0" w:lastRowFirstColumn="0" w:lastRowLastColumn="0"/>
              <w:rPr>
                <w:sz w:val="18"/>
                <w:szCs w:val="18"/>
              </w:rPr>
            </w:pPr>
          </w:p>
        </w:tc>
      </w:tr>
    </w:tbl>
    <w:p w14:paraId="31F3D860" w14:textId="77777777" w:rsidR="005B18C2" w:rsidRDefault="005B18C2" w:rsidP="00DE3CCD">
      <w:pPr>
        <w:spacing w:line="240" w:lineRule="auto"/>
        <w:rPr>
          <w:sz w:val="24"/>
          <w:szCs w:val="24"/>
        </w:rPr>
      </w:pPr>
    </w:p>
    <w:p w14:paraId="72C0AC9E" w14:textId="77777777" w:rsidR="003C51DF" w:rsidRDefault="003C51DF" w:rsidP="00213829">
      <w:pPr>
        <w:pStyle w:val="Heading2"/>
      </w:pPr>
    </w:p>
    <w:p w14:paraId="64AB301E" w14:textId="77777777" w:rsidR="00213829" w:rsidRPr="003D1C51" w:rsidRDefault="00213829" w:rsidP="00213829">
      <w:pPr>
        <w:pStyle w:val="Heading2"/>
        <w:rPr>
          <w:sz w:val="24"/>
          <w:szCs w:val="24"/>
        </w:rPr>
      </w:pPr>
      <w:bookmarkStart w:id="27" w:name="_Toc469383410"/>
      <w:r>
        <w:t>Appendix D – Enterprise Information Technology Advisory C</w:t>
      </w:r>
      <w:r w:rsidR="003C51DF">
        <w:t>ommittee Membership</w:t>
      </w:r>
      <w:bookmarkEnd w:id="27"/>
    </w:p>
    <w:p w14:paraId="1661DF85" w14:textId="77777777" w:rsidR="003C51DF" w:rsidRDefault="003C51DF" w:rsidP="003C51DF">
      <w:pPr>
        <w:spacing w:after="0" w:line="240" w:lineRule="auto"/>
        <w:rPr>
          <w:lang w:val="en-CA"/>
        </w:rPr>
      </w:pPr>
    </w:p>
    <w:p w14:paraId="43C8A504" w14:textId="77777777" w:rsidR="003C51DF" w:rsidRPr="003C51DF" w:rsidRDefault="003C51DF" w:rsidP="003C51DF">
      <w:pPr>
        <w:pStyle w:val="ListParagraph"/>
        <w:numPr>
          <w:ilvl w:val="0"/>
          <w:numId w:val="25"/>
        </w:numPr>
        <w:spacing w:after="0" w:line="240" w:lineRule="auto"/>
        <w:rPr>
          <w:lang w:val="en-CA"/>
        </w:rPr>
      </w:pPr>
      <w:r w:rsidRPr="003C51DF">
        <w:rPr>
          <w:lang w:val="en-CA"/>
        </w:rPr>
        <w:t>IT Directors in Faculties</w:t>
      </w:r>
    </w:p>
    <w:p w14:paraId="036F7109" w14:textId="77777777" w:rsidR="003C51DF" w:rsidRPr="003C51DF" w:rsidRDefault="003C51DF" w:rsidP="003C51DF">
      <w:pPr>
        <w:pStyle w:val="ListParagraph"/>
        <w:numPr>
          <w:ilvl w:val="0"/>
          <w:numId w:val="25"/>
        </w:numPr>
        <w:spacing w:after="0" w:line="240" w:lineRule="auto"/>
        <w:rPr>
          <w:lang w:val="en-CA"/>
        </w:rPr>
      </w:pPr>
      <w:r w:rsidRPr="003C51DF">
        <w:rPr>
          <w:lang w:val="en-CA"/>
        </w:rPr>
        <w:t>IT Director in Advancement</w:t>
      </w:r>
    </w:p>
    <w:p w14:paraId="65500CEE" w14:textId="77777777" w:rsidR="003C51DF" w:rsidRPr="003C51DF" w:rsidRDefault="003C51DF" w:rsidP="003C51DF">
      <w:pPr>
        <w:pStyle w:val="ListParagraph"/>
        <w:numPr>
          <w:ilvl w:val="0"/>
          <w:numId w:val="25"/>
        </w:numPr>
        <w:spacing w:after="0" w:line="240" w:lineRule="auto"/>
        <w:rPr>
          <w:lang w:val="en-CA"/>
        </w:rPr>
      </w:pPr>
      <w:r w:rsidRPr="003C51DF">
        <w:rPr>
          <w:lang w:val="en-CA"/>
        </w:rPr>
        <w:t>IT Manager in Residences</w:t>
      </w:r>
    </w:p>
    <w:p w14:paraId="4B0CFC2C" w14:textId="77777777" w:rsidR="003C51DF" w:rsidRPr="003C51DF" w:rsidRDefault="003C51DF" w:rsidP="003C51DF">
      <w:pPr>
        <w:pStyle w:val="ListParagraph"/>
        <w:numPr>
          <w:ilvl w:val="0"/>
          <w:numId w:val="25"/>
        </w:numPr>
        <w:spacing w:after="0" w:line="240" w:lineRule="auto"/>
        <w:rPr>
          <w:lang w:val="en-CA"/>
        </w:rPr>
      </w:pPr>
      <w:r w:rsidRPr="003C51DF">
        <w:rPr>
          <w:lang w:val="en-CA"/>
        </w:rPr>
        <w:t>Equivalent of IT Director in Library</w:t>
      </w:r>
    </w:p>
    <w:p w14:paraId="4C330B89" w14:textId="77777777" w:rsidR="003C51DF" w:rsidRPr="003C51DF" w:rsidRDefault="003C51DF" w:rsidP="003C51DF">
      <w:pPr>
        <w:pStyle w:val="ListParagraph"/>
        <w:numPr>
          <w:ilvl w:val="0"/>
          <w:numId w:val="25"/>
        </w:numPr>
        <w:spacing w:after="0" w:line="240" w:lineRule="auto"/>
        <w:rPr>
          <w:lang w:val="en-CA"/>
        </w:rPr>
      </w:pPr>
      <w:r w:rsidRPr="003C51DF">
        <w:rPr>
          <w:lang w:val="en-CA"/>
        </w:rPr>
        <w:t>Centre for Advanced Computing representative</w:t>
      </w:r>
    </w:p>
    <w:p w14:paraId="5D4E61A8" w14:textId="77777777" w:rsidR="003C51DF" w:rsidRPr="003C51DF" w:rsidRDefault="003C51DF" w:rsidP="003C51DF">
      <w:pPr>
        <w:pStyle w:val="ListParagraph"/>
        <w:numPr>
          <w:ilvl w:val="0"/>
          <w:numId w:val="25"/>
        </w:numPr>
        <w:spacing w:after="0" w:line="240" w:lineRule="auto"/>
        <w:rPr>
          <w:lang w:val="en-CA"/>
        </w:rPr>
      </w:pPr>
      <w:r w:rsidRPr="003C51DF">
        <w:rPr>
          <w:lang w:val="en-CA"/>
        </w:rPr>
        <w:t>IT Director in Clinical Trials</w:t>
      </w:r>
    </w:p>
    <w:p w14:paraId="23055089" w14:textId="77777777" w:rsidR="003C51DF" w:rsidRPr="003C51DF" w:rsidRDefault="003C51DF" w:rsidP="003C51DF">
      <w:pPr>
        <w:pStyle w:val="ListParagraph"/>
        <w:numPr>
          <w:ilvl w:val="0"/>
          <w:numId w:val="25"/>
        </w:numPr>
        <w:spacing w:after="0" w:line="240" w:lineRule="auto"/>
        <w:rPr>
          <w:lang w:val="en-CA"/>
        </w:rPr>
      </w:pPr>
      <w:r w:rsidRPr="003C51DF">
        <w:rPr>
          <w:lang w:val="en-CA"/>
        </w:rPr>
        <w:t>IT Manager in School of Computing</w:t>
      </w:r>
    </w:p>
    <w:p w14:paraId="1DEF5DD4" w14:textId="77777777" w:rsidR="003C51DF" w:rsidRPr="003C51DF" w:rsidRDefault="003C51DF" w:rsidP="003C51DF">
      <w:pPr>
        <w:pStyle w:val="ListParagraph"/>
        <w:numPr>
          <w:ilvl w:val="0"/>
          <w:numId w:val="25"/>
        </w:numPr>
        <w:spacing w:after="0" w:line="240" w:lineRule="auto"/>
        <w:rPr>
          <w:lang w:val="en-CA"/>
        </w:rPr>
      </w:pPr>
      <w:r w:rsidRPr="003C51DF">
        <w:rPr>
          <w:lang w:val="en-CA"/>
        </w:rPr>
        <w:t>Three representatives from ITS Management Team</w:t>
      </w:r>
    </w:p>
    <w:p w14:paraId="02EF617D" w14:textId="6B7E079A" w:rsidR="0064443B" w:rsidRDefault="003C51DF" w:rsidP="003C51DF">
      <w:pPr>
        <w:pStyle w:val="ListParagraph"/>
        <w:numPr>
          <w:ilvl w:val="0"/>
          <w:numId w:val="25"/>
        </w:numPr>
        <w:spacing w:after="0" w:line="240" w:lineRule="auto"/>
        <w:rPr>
          <w:lang w:val="en-CA"/>
        </w:rPr>
      </w:pPr>
      <w:r w:rsidRPr="003C51DF">
        <w:rPr>
          <w:lang w:val="en-CA"/>
        </w:rPr>
        <w:t>CIO/AVP-IT</w:t>
      </w:r>
    </w:p>
    <w:p w14:paraId="5CF69E8C" w14:textId="7C2D4795" w:rsidR="0064443B" w:rsidRDefault="0064443B" w:rsidP="0064443B">
      <w:pPr>
        <w:rPr>
          <w:lang w:val="en-CA"/>
        </w:rPr>
      </w:pPr>
    </w:p>
    <w:p w14:paraId="3A98E91E" w14:textId="32521828" w:rsidR="0064443B" w:rsidRPr="003D1C51" w:rsidRDefault="0064443B" w:rsidP="0064443B">
      <w:pPr>
        <w:pStyle w:val="Heading2"/>
        <w:rPr>
          <w:sz w:val="24"/>
          <w:szCs w:val="24"/>
        </w:rPr>
      </w:pPr>
      <w:bookmarkStart w:id="28" w:name="_Toc469383411"/>
      <w:r>
        <w:t xml:space="preserve">Appendix E – </w:t>
      </w:r>
      <w:r w:rsidRPr="0064443B">
        <w:t>The Queen’s Activity Based Budget Model</w:t>
      </w:r>
      <w:bookmarkEnd w:id="28"/>
    </w:p>
    <w:p w14:paraId="093BA6FF" w14:textId="475D9ABE" w:rsidR="0064443B" w:rsidRDefault="0064443B" w:rsidP="0064443B">
      <w:pPr>
        <w:pStyle w:val="ListParagraph"/>
        <w:ind w:left="0"/>
        <w:rPr>
          <w:lang w:val="en-CA"/>
        </w:rPr>
      </w:pPr>
    </w:p>
    <w:p w14:paraId="6D06368C" w14:textId="4A5FF0C2" w:rsidR="0064443B" w:rsidRPr="0064443B" w:rsidRDefault="0064443B" w:rsidP="0064443B">
      <w:pPr>
        <w:pStyle w:val="ListParagraph"/>
        <w:ind w:left="0"/>
        <w:rPr>
          <w:lang w:val="en-CA"/>
        </w:rPr>
      </w:pPr>
      <w:r>
        <w:rPr>
          <w:noProof/>
          <w:lang w:val="en-CA" w:eastAsia="en-CA"/>
        </w:rPr>
        <w:drawing>
          <wp:inline distT="0" distB="0" distL="0" distR="0" wp14:anchorId="34871904" wp14:editId="4D136589">
            <wp:extent cx="5943600" cy="4299204"/>
            <wp:effectExtent l="0" t="0" r="0" b="6350"/>
            <wp:docPr id="1" name="Picture 1" descr="Chart of Budge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of Budget 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299204"/>
                    </a:xfrm>
                    <a:prstGeom prst="rect">
                      <a:avLst/>
                    </a:prstGeom>
                    <a:noFill/>
                    <a:ln>
                      <a:noFill/>
                    </a:ln>
                  </pic:spPr>
                </pic:pic>
              </a:graphicData>
            </a:graphic>
          </wp:inline>
        </w:drawing>
      </w:r>
    </w:p>
    <w:sectPr w:rsidR="0064443B" w:rsidRPr="0064443B" w:rsidSect="00FE122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B6B"/>
    <w:multiLevelType w:val="hybridMultilevel"/>
    <w:tmpl w:val="8AA0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D10"/>
    <w:multiLevelType w:val="hybridMultilevel"/>
    <w:tmpl w:val="D83AE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0675DE"/>
    <w:multiLevelType w:val="hybridMultilevel"/>
    <w:tmpl w:val="370045A2"/>
    <w:lvl w:ilvl="0" w:tplc="6A14EA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119D3"/>
    <w:multiLevelType w:val="multilevel"/>
    <w:tmpl w:val="F70E5C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5C6351"/>
    <w:multiLevelType w:val="multilevel"/>
    <w:tmpl w:val="C5B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80C92"/>
    <w:multiLevelType w:val="hybridMultilevel"/>
    <w:tmpl w:val="F11097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540A62"/>
    <w:multiLevelType w:val="hybridMultilevel"/>
    <w:tmpl w:val="012E97FE"/>
    <w:lvl w:ilvl="0" w:tplc="6A14EA0C">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B6A7E"/>
    <w:multiLevelType w:val="hybridMultilevel"/>
    <w:tmpl w:val="56AC9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AD7B72"/>
    <w:multiLevelType w:val="hybridMultilevel"/>
    <w:tmpl w:val="422E4944"/>
    <w:lvl w:ilvl="0" w:tplc="6A14EA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F0997"/>
    <w:multiLevelType w:val="hybridMultilevel"/>
    <w:tmpl w:val="0B8EC59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397FE3"/>
    <w:multiLevelType w:val="hybridMultilevel"/>
    <w:tmpl w:val="4C385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E1075"/>
    <w:multiLevelType w:val="hybridMultilevel"/>
    <w:tmpl w:val="F1249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576F95"/>
    <w:multiLevelType w:val="multilevel"/>
    <w:tmpl w:val="00B6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7D699B"/>
    <w:multiLevelType w:val="hybridMultilevel"/>
    <w:tmpl w:val="3F563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A0448"/>
    <w:multiLevelType w:val="hybridMultilevel"/>
    <w:tmpl w:val="EE9A3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55335"/>
    <w:multiLevelType w:val="hybridMultilevel"/>
    <w:tmpl w:val="B02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032FF"/>
    <w:multiLevelType w:val="multilevel"/>
    <w:tmpl w:val="446A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B40ED"/>
    <w:multiLevelType w:val="hybridMultilevel"/>
    <w:tmpl w:val="26341DBE"/>
    <w:lvl w:ilvl="0" w:tplc="6A14EA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81EE0"/>
    <w:multiLevelType w:val="hybridMultilevel"/>
    <w:tmpl w:val="3F086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C302BA"/>
    <w:multiLevelType w:val="hybridMultilevel"/>
    <w:tmpl w:val="7BECB1B8"/>
    <w:lvl w:ilvl="0" w:tplc="02084408">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5E91A02"/>
    <w:multiLevelType w:val="hybridMultilevel"/>
    <w:tmpl w:val="D2FA3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2725A4"/>
    <w:multiLevelType w:val="hybridMultilevel"/>
    <w:tmpl w:val="7C044652"/>
    <w:lvl w:ilvl="0" w:tplc="6A14EA0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D1A8A"/>
    <w:multiLevelType w:val="multilevel"/>
    <w:tmpl w:val="BE44C2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4A528D"/>
    <w:multiLevelType w:val="multilevel"/>
    <w:tmpl w:val="5FD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2028C"/>
    <w:multiLevelType w:val="multilevel"/>
    <w:tmpl w:val="A2308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7E3947"/>
    <w:multiLevelType w:val="multilevel"/>
    <w:tmpl w:val="4C3ABB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E362B4E"/>
    <w:multiLevelType w:val="multilevel"/>
    <w:tmpl w:val="6016B65E"/>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15"/>
  </w:num>
  <w:num w:numId="3">
    <w:abstractNumId w:val="23"/>
  </w:num>
  <w:num w:numId="4">
    <w:abstractNumId w:val="12"/>
  </w:num>
  <w:num w:numId="5">
    <w:abstractNumId w:val="21"/>
  </w:num>
  <w:num w:numId="6">
    <w:abstractNumId w:val="8"/>
  </w:num>
  <w:num w:numId="7">
    <w:abstractNumId w:val="6"/>
  </w:num>
  <w:num w:numId="8">
    <w:abstractNumId w:val="17"/>
  </w:num>
  <w:num w:numId="9">
    <w:abstractNumId w:val="22"/>
  </w:num>
  <w:num w:numId="10">
    <w:abstractNumId w:val="13"/>
  </w:num>
  <w:num w:numId="11">
    <w:abstractNumId w:val="2"/>
  </w:num>
  <w:num w:numId="12">
    <w:abstractNumId w:val="10"/>
  </w:num>
  <w:num w:numId="13">
    <w:abstractNumId w:val="14"/>
  </w:num>
  <w:num w:numId="14">
    <w:abstractNumId w:val="3"/>
  </w:num>
  <w:num w:numId="15">
    <w:abstractNumId w:val="16"/>
  </w:num>
  <w:num w:numId="16">
    <w:abstractNumId w:val="11"/>
  </w:num>
  <w:num w:numId="17">
    <w:abstractNumId w:val="0"/>
  </w:num>
  <w:num w:numId="18">
    <w:abstractNumId w:val="4"/>
  </w:num>
  <w:num w:numId="19">
    <w:abstractNumId w:val="9"/>
  </w:num>
  <w:num w:numId="20">
    <w:abstractNumId w:val="18"/>
  </w:num>
  <w:num w:numId="21">
    <w:abstractNumId w:val="25"/>
  </w:num>
  <w:num w:numId="22">
    <w:abstractNumId w:val="19"/>
  </w:num>
  <w:num w:numId="23">
    <w:abstractNumId w:val="5"/>
  </w:num>
  <w:num w:numId="24">
    <w:abstractNumId w:val="26"/>
  </w:num>
  <w:num w:numId="25">
    <w:abstractNumId w:val="20"/>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activeWritingStyle w:appName="MSWord" w:lang="en-US" w:vendorID="64" w:dllVersion="0" w:nlCheck="1" w:checkStyle="1"/>
  <w:activeWritingStyle w:appName="MSWord" w:lang="en-CA" w:vendorID="64" w:dllVersion="0"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1D"/>
    <w:rsid w:val="00003C56"/>
    <w:rsid w:val="0001301D"/>
    <w:rsid w:val="00035382"/>
    <w:rsid w:val="00036AE3"/>
    <w:rsid w:val="00045431"/>
    <w:rsid w:val="00054E0E"/>
    <w:rsid w:val="00063E5E"/>
    <w:rsid w:val="000910D6"/>
    <w:rsid w:val="00093C45"/>
    <w:rsid w:val="000A1AA7"/>
    <w:rsid w:val="000A3D88"/>
    <w:rsid w:val="000D3878"/>
    <w:rsid w:val="000D7475"/>
    <w:rsid w:val="00111029"/>
    <w:rsid w:val="001157CD"/>
    <w:rsid w:val="00115CCC"/>
    <w:rsid w:val="00135F26"/>
    <w:rsid w:val="00150234"/>
    <w:rsid w:val="00184CEB"/>
    <w:rsid w:val="00192695"/>
    <w:rsid w:val="001A6DC9"/>
    <w:rsid w:val="001A7D0F"/>
    <w:rsid w:val="001B08E3"/>
    <w:rsid w:val="001B121D"/>
    <w:rsid w:val="001B5B46"/>
    <w:rsid w:val="001D59C1"/>
    <w:rsid w:val="001E0112"/>
    <w:rsid w:val="001E155F"/>
    <w:rsid w:val="001F43E4"/>
    <w:rsid w:val="00203C28"/>
    <w:rsid w:val="002048BF"/>
    <w:rsid w:val="00213829"/>
    <w:rsid w:val="002222E3"/>
    <w:rsid w:val="002235B0"/>
    <w:rsid w:val="0024623F"/>
    <w:rsid w:val="0026177A"/>
    <w:rsid w:val="002726CC"/>
    <w:rsid w:val="002B382D"/>
    <w:rsid w:val="002D5043"/>
    <w:rsid w:val="002F7EC7"/>
    <w:rsid w:val="00303486"/>
    <w:rsid w:val="003063CD"/>
    <w:rsid w:val="003222F5"/>
    <w:rsid w:val="003377AF"/>
    <w:rsid w:val="0034373D"/>
    <w:rsid w:val="003444DF"/>
    <w:rsid w:val="00345282"/>
    <w:rsid w:val="0034629A"/>
    <w:rsid w:val="00347CD0"/>
    <w:rsid w:val="00355567"/>
    <w:rsid w:val="00372032"/>
    <w:rsid w:val="00374363"/>
    <w:rsid w:val="003767DD"/>
    <w:rsid w:val="003908D7"/>
    <w:rsid w:val="003C0069"/>
    <w:rsid w:val="003C51DF"/>
    <w:rsid w:val="003D1C51"/>
    <w:rsid w:val="003D39FD"/>
    <w:rsid w:val="003E2A91"/>
    <w:rsid w:val="00406B50"/>
    <w:rsid w:val="004275D2"/>
    <w:rsid w:val="00434446"/>
    <w:rsid w:val="00452C94"/>
    <w:rsid w:val="00454965"/>
    <w:rsid w:val="00454F63"/>
    <w:rsid w:val="00456DE8"/>
    <w:rsid w:val="00466FCD"/>
    <w:rsid w:val="00485CDE"/>
    <w:rsid w:val="00491B0F"/>
    <w:rsid w:val="004D0A71"/>
    <w:rsid w:val="004F6762"/>
    <w:rsid w:val="0050006F"/>
    <w:rsid w:val="00517C3E"/>
    <w:rsid w:val="005268F5"/>
    <w:rsid w:val="00526C07"/>
    <w:rsid w:val="00530669"/>
    <w:rsid w:val="00535BC5"/>
    <w:rsid w:val="00545F67"/>
    <w:rsid w:val="00552293"/>
    <w:rsid w:val="00552483"/>
    <w:rsid w:val="005570DC"/>
    <w:rsid w:val="00590024"/>
    <w:rsid w:val="005A3EC4"/>
    <w:rsid w:val="005A52FE"/>
    <w:rsid w:val="005B1688"/>
    <w:rsid w:val="005B18C2"/>
    <w:rsid w:val="005B21B4"/>
    <w:rsid w:val="005C2A21"/>
    <w:rsid w:val="005C3A10"/>
    <w:rsid w:val="005D09A2"/>
    <w:rsid w:val="005D0DD0"/>
    <w:rsid w:val="005E47C4"/>
    <w:rsid w:val="005F0630"/>
    <w:rsid w:val="005F0BAA"/>
    <w:rsid w:val="005F2864"/>
    <w:rsid w:val="005F2D6A"/>
    <w:rsid w:val="00601377"/>
    <w:rsid w:val="0064443B"/>
    <w:rsid w:val="00645E22"/>
    <w:rsid w:val="00662B52"/>
    <w:rsid w:val="0066430E"/>
    <w:rsid w:val="006716BE"/>
    <w:rsid w:val="00672B56"/>
    <w:rsid w:val="00676776"/>
    <w:rsid w:val="00683972"/>
    <w:rsid w:val="006907CB"/>
    <w:rsid w:val="00691857"/>
    <w:rsid w:val="006B7249"/>
    <w:rsid w:val="00717161"/>
    <w:rsid w:val="0073464F"/>
    <w:rsid w:val="007450F0"/>
    <w:rsid w:val="00770874"/>
    <w:rsid w:val="00771567"/>
    <w:rsid w:val="00775A6D"/>
    <w:rsid w:val="00775B4C"/>
    <w:rsid w:val="0079265A"/>
    <w:rsid w:val="007B481F"/>
    <w:rsid w:val="007B699B"/>
    <w:rsid w:val="007C082E"/>
    <w:rsid w:val="007C5E6B"/>
    <w:rsid w:val="007E6994"/>
    <w:rsid w:val="007E7137"/>
    <w:rsid w:val="008107C6"/>
    <w:rsid w:val="008115DD"/>
    <w:rsid w:val="00822696"/>
    <w:rsid w:val="00833A23"/>
    <w:rsid w:val="008406E8"/>
    <w:rsid w:val="008732B6"/>
    <w:rsid w:val="00881148"/>
    <w:rsid w:val="008844CB"/>
    <w:rsid w:val="00884682"/>
    <w:rsid w:val="00893250"/>
    <w:rsid w:val="008A154A"/>
    <w:rsid w:val="008A280C"/>
    <w:rsid w:val="008B7595"/>
    <w:rsid w:val="008D1A12"/>
    <w:rsid w:val="008F1A5E"/>
    <w:rsid w:val="008F4234"/>
    <w:rsid w:val="0091183C"/>
    <w:rsid w:val="009247F2"/>
    <w:rsid w:val="00935541"/>
    <w:rsid w:val="0096668D"/>
    <w:rsid w:val="009667EB"/>
    <w:rsid w:val="0098282F"/>
    <w:rsid w:val="009A44CF"/>
    <w:rsid w:val="009B2BE0"/>
    <w:rsid w:val="009B4806"/>
    <w:rsid w:val="009C119A"/>
    <w:rsid w:val="009C32F4"/>
    <w:rsid w:val="009D0A15"/>
    <w:rsid w:val="009F001F"/>
    <w:rsid w:val="00A15020"/>
    <w:rsid w:val="00A234D3"/>
    <w:rsid w:val="00A2413F"/>
    <w:rsid w:val="00A323BB"/>
    <w:rsid w:val="00A402E2"/>
    <w:rsid w:val="00A5487C"/>
    <w:rsid w:val="00A71DD1"/>
    <w:rsid w:val="00A80F12"/>
    <w:rsid w:val="00AB6AAA"/>
    <w:rsid w:val="00AF2D74"/>
    <w:rsid w:val="00B03B3F"/>
    <w:rsid w:val="00B12BC9"/>
    <w:rsid w:val="00B157C0"/>
    <w:rsid w:val="00B165B2"/>
    <w:rsid w:val="00B22C2A"/>
    <w:rsid w:val="00B27437"/>
    <w:rsid w:val="00B300DD"/>
    <w:rsid w:val="00B321CE"/>
    <w:rsid w:val="00B36C1F"/>
    <w:rsid w:val="00B61CDC"/>
    <w:rsid w:val="00B62A8A"/>
    <w:rsid w:val="00B65970"/>
    <w:rsid w:val="00B66169"/>
    <w:rsid w:val="00BA7A30"/>
    <w:rsid w:val="00BB0543"/>
    <w:rsid w:val="00BC67CC"/>
    <w:rsid w:val="00BD25BA"/>
    <w:rsid w:val="00C047E5"/>
    <w:rsid w:val="00C15F3E"/>
    <w:rsid w:val="00C24B79"/>
    <w:rsid w:val="00C334F6"/>
    <w:rsid w:val="00C365C6"/>
    <w:rsid w:val="00C41B6C"/>
    <w:rsid w:val="00C44EF5"/>
    <w:rsid w:val="00C568FB"/>
    <w:rsid w:val="00C632AA"/>
    <w:rsid w:val="00C929F9"/>
    <w:rsid w:val="00CA5B00"/>
    <w:rsid w:val="00CB641A"/>
    <w:rsid w:val="00CC3FAC"/>
    <w:rsid w:val="00CE21B5"/>
    <w:rsid w:val="00CE4118"/>
    <w:rsid w:val="00D155FB"/>
    <w:rsid w:val="00D34818"/>
    <w:rsid w:val="00D73E00"/>
    <w:rsid w:val="00D769FA"/>
    <w:rsid w:val="00D80230"/>
    <w:rsid w:val="00D81569"/>
    <w:rsid w:val="00D953DC"/>
    <w:rsid w:val="00D9712E"/>
    <w:rsid w:val="00DA2C1C"/>
    <w:rsid w:val="00DD0460"/>
    <w:rsid w:val="00DE2585"/>
    <w:rsid w:val="00DE3CCD"/>
    <w:rsid w:val="00DE6EEA"/>
    <w:rsid w:val="00DE7D9F"/>
    <w:rsid w:val="00E009DF"/>
    <w:rsid w:val="00E04768"/>
    <w:rsid w:val="00E166BF"/>
    <w:rsid w:val="00E37035"/>
    <w:rsid w:val="00E60F97"/>
    <w:rsid w:val="00E71492"/>
    <w:rsid w:val="00E87673"/>
    <w:rsid w:val="00E91BC9"/>
    <w:rsid w:val="00EA5EE9"/>
    <w:rsid w:val="00EB2D55"/>
    <w:rsid w:val="00EC7A19"/>
    <w:rsid w:val="00EC7C59"/>
    <w:rsid w:val="00EE23F2"/>
    <w:rsid w:val="00F02214"/>
    <w:rsid w:val="00F053B6"/>
    <w:rsid w:val="00F27904"/>
    <w:rsid w:val="00F459F3"/>
    <w:rsid w:val="00F76AD0"/>
    <w:rsid w:val="00F80D03"/>
    <w:rsid w:val="00F92BD7"/>
    <w:rsid w:val="00FB7A72"/>
    <w:rsid w:val="00FC6BE8"/>
    <w:rsid w:val="00FD1DA6"/>
    <w:rsid w:val="00FE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4399"/>
  <w15:docId w15:val="{8E99D14F-AEF0-4AD4-B087-05592573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1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01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30"/>
    <w:pPr>
      <w:ind w:left="720"/>
      <w:contextualSpacing/>
    </w:pPr>
  </w:style>
  <w:style w:type="paragraph" w:styleId="NormalWeb">
    <w:name w:val="Normal (Web)"/>
    <w:basedOn w:val="Normal"/>
    <w:uiPriority w:val="99"/>
    <w:unhideWhenUsed/>
    <w:rsid w:val="008A1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A15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154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A5B00"/>
    <w:pPr>
      <w:outlineLvl w:val="9"/>
    </w:pPr>
  </w:style>
  <w:style w:type="paragraph" w:styleId="TOC1">
    <w:name w:val="toc 1"/>
    <w:basedOn w:val="Normal"/>
    <w:next w:val="Normal"/>
    <w:autoRedefine/>
    <w:uiPriority w:val="39"/>
    <w:unhideWhenUsed/>
    <w:rsid w:val="00CA5B00"/>
    <w:pPr>
      <w:spacing w:after="100"/>
    </w:pPr>
  </w:style>
  <w:style w:type="paragraph" w:styleId="TOC2">
    <w:name w:val="toc 2"/>
    <w:basedOn w:val="Normal"/>
    <w:next w:val="Normal"/>
    <w:autoRedefine/>
    <w:uiPriority w:val="39"/>
    <w:unhideWhenUsed/>
    <w:rsid w:val="00CA5B00"/>
    <w:pPr>
      <w:spacing w:after="100"/>
      <w:ind w:left="220"/>
    </w:pPr>
  </w:style>
  <w:style w:type="character" w:styleId="Hyperlink">
    <w:name w:val="Hyperlink"/>
    <w:basedOn w:val="DefaultParagraphFont"/>
    <w:uiPriority w:val="99"/>
    <w:unhideWhenUsed/>
    <w:rsid w:val="00CA5B00"/>
    <w:rPr>
      <w:color w:val="0563C1" w:themeColor="hyperlink"/>
      <w:u w:val="single"/>
    </w:rPr>
  </w:style>
  <w:style w:type="character" w:customStyle="1" w:styleId="Heading3Char">
    <w:name w:val="Heading 3 Char"/>
    <w:basedOn w:val="DefaultParagraphFont"/>
    <w:link w:val="Heading3"/>
    <w:uiPriority w:val="9"/>
    <w:rsid w:val="001E0112"/>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FE1229"/>
    <w:pPr>
      <w:spacing w:after="0" w:line="240" w:lineRule="auto"/>
    </w:pPr>
    <w:rPr>
      <w:rFonts w:eastAsiaTheme="minorEastAsia"/>
    </w:rPr>
  </w:style>
  <w:style w:type="character" w:customStyle="1" w:styleId="NoSpacingChar">
    <w:name w:val="No Spacing Char"/>
    <w:basedOn w:val="DefaultParagraphFont"/>
    <w:link w:val="NoSpacing"/>
    <w:uiPriority w:val="1"/>
    <w:rsid w:val="00FE1229"/>
    <w:rPr>
      <w:rFonts w:eastAsiaTheme="minorEastAsia"/>
    </w:rPr>
  </w:style>
  <w:style w:type="table" w:styleId="TableGrid">
    <w:name w:val="Table Grid"/>
    <w:basedOn w:val="TableNormal"/>
    <w:uiPriority w:val="39"/>
    <w:rsid w:val="00EC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EC7C5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EC7C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EC7C5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EC7C5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9C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19A"/>
    <w:rPr>
      <w:rFonts w:ascii="Segoe UI" w:hAnsi="Segoe UI" w:cs="Segoe UI"/>
      <w:sz w:val="18"/>
      <w:szCs w:val="18"/>
    </w:rPr>
  </w:style>
  <w:style w:type="character" w:styleId="CommentReference">
    <w:name w:val="annotation reference"/>
    <w:basedOn w:val="DefaultParagraphFont"/>
    <w:uiPriority w:val="99"/>
    <w:semiHidden/>
    <w:unhideWhenUsed/>
    <w:rsid w:val="007450F0"/>
    <w:rPr>
      <w:sz w:val="16"/>
      <w:szCs w:val="16"/>
    </w:rPr>
  </w:style>
  <w:style w:type="paragraph" w:styleId="CommentText">
    <w:name w:val="annotation text"/>
    <w:basedOn w:val="Normal"/>
    <w:link w:val="CommentTextChar"/>
    <w:uiPriority w:val="99"/>
    <w:semiHidden/>
    <w:unhideWhenUsed/>
    <w:rsid w:val="007450F0"/>
    <w:pPr>
      <w:spacing w:line="240" w:lineRule="auto"/>
    </w:pPr>
    <w:rPr>
      <w:sz w:val="20"/>
      <w:szCs w:val="20"/>
    </w:rPr>
  </w:style>
  <w:style w:type="character" w:customStyle="1" w:styleId="CommentTextChar">
    <w:name w:val="Comment Text Char"/>
    <w:basedOn w:val="DefaultParagraphFont"/>
    <w:link w:val="CommentText"/>
    <w:uiPriority w:val="99"/>
    <w:semiHidden/>
    <w:rsid w:val="007450F0"/>
    <w:rPr>
      <w:sz w:val="20"/>
      <w:szCs w:val="20"/>
    </w:rPr>
  </w:style>
  <w:style w:type="paragraph" w:styleId="CommentSubject">
    <w:name w:val="annotation subject"/>
    <w:basedOn w:val="CommentText"/>
    <w:next w:val="CommentText"/>
    <w:link w:val="CommentSubjectChar"/>
    <w:uiPriority w:val="99"/>
    <w:semiHidden/>
    <w:unhideWhenUsed/>
    <w:rsid w:val="007450F0"/>
    <w:rPr>
      <w:b/>
      <w:bCs/>
    </w:rPr>
  </w:style>
  <w:style w:type="character" w:customStyle="1" w:styleId="CommentSubjectChar">
    <w:name w:val="Comment Subject Char"/>
    <w:basedOn w:val="CommentTextChar"/>
    <w:link w:val="CommentSubject"/>
    <w:uiPriority w:val="99"/>
    <w:semiHidden/>
    <w:rsid w:val="007450F0"/>
    <w:rPr>
      <w:b/>
      <w:bCs/>
      <w:sz w:val="20"/>
      <w:szCs w:val="20"/>
    </w:rPr>
  </w:style>
  <w:style w:type="paragraph" w:styleId="Revision">
    <w:name w:val="Revision"/>
    <w:hidden/>
    <w:uiPriority w:val="99"/>
    <w:semiHidden/>
    <w:rsid w:val="00A15020"/>
    <w:pPr>
      <w:spacing w:after="0" w:line="240" w:lineRule="auto"/>
    </w:pPr>
  </w:style>
  <w:style w:type="table" w:styleId="GridTable2-Accent1">
    <w:name w:val="Grid Table 2 Accent 1"/>
    <w:basedOn w:val="TableNormal"/>
    <w:uiPriority w:val="47"/>
    <w:rsid w:val="00B6597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rsid w:val="00B659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6597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B6597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602">
      <w:bodyDiv w:val="1"/>
      <w:marLeft w:val="0"/>
      <w:marRight w:val="0"/>
      <w:marTop w:val="0"/>
      <w:marBottom w:val="0"/>
      <w:divBdr>
        <w:top w:val="none" w:sz="0" w:space="0" w:color="auto"/>
        <w:left w:val="none" w:sz="0" w:space="0" w:color="auto"/>
        <w:bottom w:val="none" w:sz="0" w:space="0" w:color="auto"/>
        <w:right w:val="none" w:sz="0" w:space="0" w:color="auto"/>
      </w:divBdr>
      <w:divsChild>
        <w:div w:id="435365634">
          <w:marLeft w:val="0"/>
          <w:marRight w:val="0"/>
          <w:marTop w:val="0"/>
          <w:marBottom w:val="0"/>
          <w:divBdr>
            <w:top w:val="none" w:sz="0" w:space="0" w:color="auto"/>
            <w:left w:val="none" w:sz="0" w:space="0" w:color="auto"/>
            <w:bottom w:val="none" w:sz="0" w:space="0" w:color="auto"/>
            <w:right w:val="none" w:sz="0" w:space="0" w:color="auto"/>
          </w:divBdr>
          <w:divsChild>
            <w:div w:id="558249668">
              <w:marLeft w:val="0"/>
              <w:marRight w:val="0"/>
              <w:marTop w:val="0"/>
              <w:marBottom w:val="0"/>
              <w:divBdr>
                <w:top w:val="none" w:sz="0" w:space="0" w:color="auto"/>
                <w:left w:val="none" w:sz="0" w:space="0" w:color="auto"/>
                <w:bottom w:val="none" w:sz="0" w:space="0" w:color="auto"/>
                <w:right w:val="none" w:sz="0" w:space="0" w:color="auto"/>
              </w:divBdr>
              <w:divsChild>
                <w:div w:id="1137991424">
                  <w:marLeft w:val="0"/>
                  <w:marRight w:val="0"/>
                  <w:marTop w:val="0"/>
                  <w:marBottom w:val="0"/>
                  <w:divBdr>
                    <w:top w:val="none" w:sz="0" w:space="0" w:color="auto"/>
                    <w:left w:val="none" w:sz="0" w:space="0" w:color="auto"/>
                    <w:bottom w:val="none" w:sz="0" w:space="0" w:color="auto"/>
                    <w:right w:val="none" w:sz="0" w:space="0" w:color="auto"/>
                  </w:divBdr>
                  <w:divsChild>
                    <w:div w:id="608245406">
                      <w:marLeft w:val="825"/>
                      <w:marRight w:val="0"/>
                      <w:marTop w:val="0"/>
                      <w:marBottom w:val="0"/>
                      <w:divBdr>
                        <w:top w:val="none" w:sz="0" w:space="0" w:color="auto"/>
                        <w:left w:val="none" w:sz="0" w:space="0" w:color="auto"/>
                        <w:bottom w:val="none" w:sz="0" w:space="0" w:color="auto"/>
                        <w:right w:val="none" w:sz="0" w:space="0" w:color="auto"/>
                      </w:divBdr>
                      <w:divsChild>
                        <w:div w:id="862323636">
                          <w:marLeft w:val="0"/>
                          <w:marRight w:val="0"/>
                          <w:marTop w:val="0"/>
                          <w:marBottom w:val="0"/>
                          <w:divBdr>
                            <w:top w:val="none" w:sz="0" w:space="0" w:color="auto"/>
                            <w:left w:val="none" w:sz="0" w:space="0" w:color="auto"/>
                            <w:bottom w:val="none" w:sz="0" w:space="0" w:color="auto"/>
                            <w:right w:val="none" w:sz="0" w:space="0" w:color="auto"/>
                          </w:divBdr>
                          <w:divsChild>
                            <w:div w:id="286354001">
                              <w:marLeft w:val="0"/>
                              <w:marRight w:val="0"/>
                              <w:marTop w:val="0"/>
                              <w:marBottom w:val="300"/>
                              <w:divBdr>
                                <w:top w:val="none" w:sz="0" w:space="0" w:color="auto"/>
                                <w:left w:val="none" w:sz="0" w:space="0" w:color="auto"/>
                                <w:bottom w:val="none" w:sz="0" w:space="0" w:color="auto"/>
                                <w:right w:val="none" w:sz="0" w:space="0" w:color="auto"/>
                              </w:divBdr>
                            </w:div>
                            <w:div w:id="1172723426">
                              <w:marLeft w:val="0"/>
                              <w:marRight w:val="0"/>
                              <w:marTop w:val="0"/>
                              <w:marBottom w:val="0"/>
                              <w:divBdr>
                                <w:top w:val="none" w:sz="0" w:space="0" w:color="auto"/>
                                <w:left w:val="none" w:sz="0" w:space="0" w:color="auto"/>
                                <w:bottom w:val="none" w:sz="0" w:space="0" w:color="auto"/>
                                <w:right w:val="none" w:sz="0" w:space="0" w:color="auto"/>
                              </w:divBdr>
                              <w:divsChild>
                                <w:div w:id="482280799">
                                  <w:marLeft w:val="0"/>
                                  <w:marRight w:val="0"/>
                                  <w:marTop w:val="150"/>
                                  <w:marBottom w:val="0"/>
                                  <w:divBdr>
                                    <w:top w:val="none" w:sz="0" w:space="0" w:color="auto"/>
                                    <w:left w:val="none" w:sz="0" w:space="0" w:color="auto"/>
                                    <w:bottom w:val="none" w:sz="0" w:space="0" w:color="auto"/>
                                    <w:right w:val="none" w:sz="0" w:space="0" w:color="auto"/>
                                  </w:divBdr>
                                  <w:divsChild>
                                    <w:div w:id="1543520476">
                                      <w:marLeft w:val="0"/>
                                      <w:marRight w:val="0"/>
                                      <w:marTop w:val="0"/>
                                      <w:marBottom w:val="0"/>
                                      <w:divBdr>
                                        <w:top w:val="none" w:sz="0" w:space="0" w:color="auto"/>
                                        <w:left w:val="none" w:sz="0" w:space="0" w:color="auto"/>
                                        <w:bottom w:val="none" w:sz="0" w:space="0" w:color="auto"/>
                                        <w:right w:val="none" w:sz="0" w:space="0" w:color="auto"/>
                                      </w:divBdr>
                                      <w:divsChild>
                                        <w:div w:id="1539776036">
                                          <w:marLeft w:val="0"/>
                                          <w:marRight w:val="0"/>
                                          <w:marTop w:val="0"/>
                                          <w:marBottom w:val="0"/>
                                          <w:divBdr>
                                            <w:top w:val="none" w:sz="0" w:space="0" w:color="auto"/>
                                            <w:left w:val="none" w:sz="0" w:space="0" w:color="auto"/>
                                            <w:bottom w:val="none" w:sz="0" w:space="0" w:color="auto"/>
                                            <w:right w:val="none" w:sz="0" w:space="0" w:color="auto"/>
                                          </w:divBdr>
                                        </w:div>
                                      </w:divsChild>
                                    </w:div>
                                    <w:div w:id="973363477">
                                      <w:marLeft w:val="0"/>
                                      <w:marRight w:val="0"/>
                                      <w:marTop w:val="0"/>
                                      <w:marBottom w:val="0"/>
                                      <w:divBdr>
                                        <w:top w:val="none" w:sz="0" w:space="0" w:color="auto"/>
                                        <w:left w:val="none" w:sz="0" w:space="0" w:color="auto"/>
                                        <w:bottom w:val="none" w:sz="0" w:space="0" w:color="auto"/>
                                        <w:right w:val="none" w:sz="0" w:space="0" w:color="auto"/>
                                      </w:divBdr>
                                      <w:divsChild>
                                        <w:div w:id="1323047572">
                                          <w:marLeft w:val="0"/>
                                          <w:marRight w:val="0"/>
                                          <w:marTop w:val="0"/>
                                          <w:marBottom w:val="0"/>
                                          <w:divBdr>
                                            <w:top w:val="none" w:sz="0" w:space="0" w:color="auto"/>
                                            <w:left w:val="none" w:sz="0" w:space="0" w:color="auto"/>
                                            <w:bottom w:val="none" w:sz="0" w:space="0" w:color="auto"/>
                                            <w:right w:val="none" w:sz="0" w:space="0" w:color="auto"/>
                                          </w:divBdr>
                                        </w:div>
                                      </w:divsChild>
                                    </w:div>
                                    <w:div w:id="1524636257">
                                      <w:marLeft w:val="0"/>
                                      <w:marRight w:val="0"/>
                                      <w:marTop w:val="0"/>
                                      <w:marBottom w:val="0"/>
                                      <w:divBdr>
                                        <w:top w:val="none" w:sz="0" w:space="0" w:color="auto"/>
                                        <w:left w:val="none" w:sz="0" w:space="0" w:color="auto"/>
                                        <w:bottom w:val="none" w:sz="0" w:space="0" w:color="auto"/>
                                        <w:right w:val="none" w:sz="0" w:space="0" w:color="auto"/>
                                      </w:divBdr>
                                      <w:divsChild>
                                        <w:div w:id="673266034">
                                          <w:marLeft w:val="0"/>
                                          <w:marRight w:val="0"/>
                                          <w:marTop w:val="0"/>
                                          <w:marBottom w:val="0"/>
                                          <w:divBdr>
                                            <w:top w:val="none" w:sz="0" w:space="0" w:color="auto"/>
                                            <w:left w:val="none" w:sz="0" w:space="0" w:color="auto"/>
                                            <w:bottom w:val="none" w:sz="0" w:space="0" w:color="auto"/>
                                            <w:right w:val="none" w:sz="0" w:space="0" w:color="auto"/>
                                          </w:divBdr>
                                        </w:div>
                                      </w:divsChild>
                                    </w:div>
                                    <w:div w:id="1039620798">
                                      <w:marLeft w:val="0"/>
                                      <w:marRight w:val="0"/>
                                      <w:marTop w:val="0"/>
                                      <w:marBottom w:val="0"/>
                                      <w:divBdr>
                                        <w:top w:val="none" w:sz="0" w:space="0" w:color="auto"/>
                                        <w:left w:val="none" w:sz="0" w:space="0" w:color="auto"/>
                                        <w:bottom w:val="none" w:sz="0" w:space="0" w:color="auto"/>
                                        <w:right w:val="none" w:sz="0" w:space="0" w:color="auto"/>
                                      </w:divBdr>
                                      <w:divsChild>
                                        <w:div w:id="289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8193">
                                  <w:marLeft w:val="0"/>
                                  <w:marRight w:val="0"/>
                                  <w:marTop w:val="0"/>
                                  <w:marBottom w:val="0"/>
                                  <w:divBdr>
                                    <w:top w:val="none" w:sz="0" w:space="0" w:color="auto"/>
                                    <w:left w:val="none" w:sz="0" w:space="0" w:color="auto"/>
                                    <w:bottom w:val="none" w:sz="0" w:space="0" w:color="auto"/>
                                    <w:right w:val="none" w:sz="0" w:space="0" w:color="auto"/>
                                  </w:divBdr>
                                </w:div>
                                <w:div w:id="1158228372">
                                  <w:marLeft w:val="0"/>
                                  <w:marRight w:val="0"/>
                                  <w:marTop w:val="0"/>
                                  <w:marBottom w:val="0"/>
                                  <w:divBdr>
                                    <w:top w:val="none" w:sz="0" w:space="0" w:color="auto"/>
                                    <w:left w:val="none" w:sz="0" w:space="0" w:color="auto"/>
                                    <w:bottom w:val="none" w:sz="0" w:space="0" w:color="auto"/>
                                    <w:right w:val="none" w:sz="0" w:space="0" w:color="auto"/>
                                  </w:divBdr>
                                </w:div>
                                <w:div w:id="813908443">
                                  <w:marLeft w:val="0"/>
                                  <w:marRight w:val="0"/>
                                  <w:marTop w:val="0"/>
                                  <w:marBottom w:val="0"/>
                                  <w:divBdr>
                                    <w:top w:val="none" w:sz="0" w:space="0" w:color="auto"/>
                                    <w:left w:val="none" w:sz="0" w:space="0" w:color="auto"/>
                                    <w:bottom w:val="none" w:sz="0" w:space="0" w:color="auto"/>
                                    <w:right w:val="none" w:sz="0" w:space="0" w:color="auto"/>
                                  </w:divBdr>
                                </w:div>
                                <w:div w:id="223377917">
                                  <w:marLeft w:val="0"/>
                                  <w:marRight w:val="0"/>
                                  <w:marTop w:val="0"/>
                                  <w:marBottom w:val="0"/>
                                  <w:divBdr>
                                    <w:top w:val="none" w:sz="0" w:space="0" w:color="auto"/>
                                    <w:left w:val="none" w:sz="0" w:space="0" w:color="auto"/>
                                    <w:bottom w:val="none" w:sz="0" w:space="0" w:color="auto"/>
                                    <w:right w:val="none" w:sz="0" w:space="0" w:color="auto"/>
                                  </w:divBdr>
                                </w:div>
                                <w:div w:id="320355827">
                                  <w:marLeft w:val="0"/>
                                  <w:marRight w:val="0"/>
                                  <w:marTop w:val="0"/>
                                  <w:marBottom w:val="0"/>
                                  <w:divBdr>
                                    <w:top w:val="none" w:sz="0" w:space="0" w:color="auto"/>
                                    <w:left w:val="none" w:sz="0" w:space="0" w:color="auto"/>
                                    <w:bottom w:val="none" w:sz="0" w:space="0" w:color="auto"/>
                                    <w:right w:val="none" w:sz="0" w:space="0" w:color="auto"/>
                                  </w:divBdr>
                                </w:div>
                                <w:div w:id="681511970">
                                  <w:marLeft w:val="0"/>
                                  <w:marRight w:val="0"/>
                                  <w:marTop w:val="0"/>
                                  <w:marBottom w:val="0"/>
                                  <w:divBdr>
                                    <w:top w:val="none" w:sz="0" w:space="0" w:color="auto"/>
                                    <w:left w:val="none" w:sz="0" w:space="0" w:color="auto"/>
                                    <w:bottom w:val="none" w:sz="0" w:space="0" w:color="auto"/>
                                    <w:right w:val="none" w:sz="0" w:space="0" w:color="auto"/>
                                  </w:divBdr>
                                </w:div>
                                <w:div w:id="231240006">
                                  <w:marLeft w:val="0"/>
                                  <w:marRight w:val="0"/>
                                  <w:marTop w:val="0"/>
                                  <w:marBottom w:val="0"/>
                                  <w:divBdr>
                                    <w:top w:val="none" w:sz="0" w:space="0" w:color="auto"/>
                                    <w:left w:val="none" w:sz="0" w:space="0" w:color="auto"/>
                                    <w:bottom w:val="none" w:sz="0" w:space="0" w:color="auto"/>
                                    <w:right w:val="none" w:sz="0" w:space="0" w:color="auto"/>
                                  </w:divBdr>
                                </w:div>
                                <w:div w:id="1034694711">
                                  <w:marLeft w:val="0"/>
                                  <w:marRight w:val="0"/>
                                  <w:marTop w:val="0"/>
                                  <w:marBottom w:val="0"/>
                                  <w:divBdr>
                                    <w:top w:val="none" w:sz="0" w:space="0" w:color="auto"/>
                                    <w:left w:val="none" w:sz="0" w:space="0" w:color="auto"/>
                                    <w:bottom w:val="none" w:sz="0" w:space="0" w:color="auto"/>
                                    <w:right w:val="none" w:sz="0" w:space="0" w:color="auto"/>
                                  </w:divBdr>
                                </w:div>
                                <w:div w:id="1195802600">
                                  <w:marLeft w:val="0"/>
                                  <w:marRight w:val="0"/>
                                  <w:marTop w:val="0"/>
                                  <w:marBottom w:val="0"/>
                                  <w:divBdr>
                                    <w:top w:val="none" w:sz="0" w:space="0" w:color="auto"/>
                                    <w:left w:val="none" w:sz="0" w:space="0" w:color="auto"/>
                                    <w:bottom w:val="none" w:sz="0" w:space="0" w:color="auto"/>
                                    <w:right w:val="none" w:sz="0" w:space="0" w:color="auto"/>
                                  </w:divBdr>
                                </w:div>
                                <w:div w:id="461777737">
                                  <w:marLeft w:val="0"/>
                                  <w:marRight w:val="0"/>
                                  <w:marTop w:val="0"/>
                                  <w:marBottom w:val="0"/>
                                  <w:divBdr>
                                    <w:top w:val="none" w:sz="0" w:space="0" w:color="auto"/>
                                    <w:left w:val="none" w:sz="0" w:space="0" w:color="auto"/>
                                    <w:bottom w:val="none" w:sz="0" w:space="0" w:color="auto"/>
                                    <w:right w:val="none" w:sz="0" w:space="0" w:color="auto"/>
                                  </w:divBdr>
                                </w:div>
                                <w:div w:id="739602474">
                                  <w:marLeft w:val="0"/>
                                  <w:marRight w:val="0"/>
                                  <w:marTop w:val="0"/>
                                  <w:marBottom w:val="0"/>
                                  <w:divBdr>
                                    <w:top w:val="none" w:sz="0" w:space="0" w:color="auto"/>
                                    <w:left w:val="none" w:sz="0" w:space="0" w:color="auto"/>
                                    <w:bottom w:val="none" w:sz="0" w:space="0" w:color="auto"/>
                                    <w:right w:val="none" w:sz="0" w:space="0" w:color="auto"/>
                                  </w:divBdr>
                                </w:div>
                                <w:div w:id="6711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9486">
      <w:bodyDiv w:val="1"/>
      <w:marLeft w:val="0"/>
      <w:marRight w:val="0"/>
      <w:marTop w:val="0"/>
      <w:marBottom w:val="0"/>
      <w:divBdr>
        <w:top w:val="none" w:sz="0" w:space="0" w:color="auto"/>
        <w:left w:val="none" w:sz="0" w:space="0" w:color="auto"/>
        <w:bottom w:val="none" w:sz="0" w:space="0" w:color="auto"/>
        <w:right w:val="none" w:sz="0" w:space="0" w:color="auto"/>
      </w:divBdr>
      <w:divsChild>
        <w:div w:id="66809557">
          <w:marLeft w:val="0"/>
          <w:marRight w:val="0"/>
          <w:marTop w:val="0"/>
          <w:marBottom w:val="0"/>
          <w:divBdr>
            <w:top w:val="none" w:sz="0" w:space="0" w:color="auto"/>
            <w:left w:val="none" w:sz="0" w:space="0" w:color="auto"/>
            <w:bottom w:val="none" w:sz="0" w:space="0" w:color="auto"/>
            <w:right w:val="none" w:sz="0" w:space="0" w:color="auto"/>
          </w:divBdr>
          <w:divsChild>
            <w:div w:id="2099789872">
              <w:marLeft w:val="0"/>
              <w:marRight w:val="0"/>
              <w:marTop w:val="0"/>
              <w:marBottom w:val="0"/>
              <w:divBdr>
                <w:top w:val="none" w:sz="0" w:space="0" w:color="auto"/>
                <w:left w:val="none" w:sz="0" w:space="0" w:color="auto"/>
                <w:bottom w:val="none" w:sz="0" w:space="0" w:color="auto"/>
                <w:right w:val="none" w:sz="0" w:space="0" w:color="auto"/>
              </w:divBdr>
              <w:divsChild>
                <w:div w:id="1668246432">
                  <w:marLeft w:val="0"/>
                  <w:marRight w:val="0"/>
                  <w:marTop w:val="0"/>
                  <w:marBottom w:val="0"/>
                  <w:divBdr>
                    <w:top w:val="none" w:sz="0" w:space="0" w:color="auto"/>
                    <w:left w:val="none" w:sz="0" w:space="0" w:color="auto"/>
                    <w:bottom w:val="none" w:sz="0" w:space="0" w:color="auto"/>
                    <w:right w:val="none" w:sz="0" w:space="0" w:color="auto"/>
                  </w:divBdr>
                  <w:divsChild>
                    <w:div w:id="1051809751">
                      <w:marLeft w:val="4275"/>
                      <w:marRight w:val="0"/>
                      <w:marTop w:val="0"/>
                      <w:marBottom w:val="0"/>
                      <w:divBdr>
                        <w:top w:val="none" w:sz="0" w:space="0" w:color="auto"/>
                        <w:left w:val="none" w:sz="0" w:space="0" w:color="auto"/>
                        <w:bottom w:val="none" w:sz="0" w:space="0" w:color="auto"/>
                        <w:right w:val="none" w:sz="0" w:space="0" w:color="auto"/>
                      </w:divBdr>
                      <w:divsChild>
                        <w:div w:id="2107773528">
                          <w:marLeft w:val="0"/>
                          <w:marRight w:val="0"/>
                          <w:marTop w:val="0"/>
                          <w:marBottom w:val="0"/>
                          <w:divBdr>
                            <w:top w:val="none" w:sz="0" w:space="0" w:color="auto"/>
                            <w:left w:val="none" w:sz="0" w:space="0" w:color="auto"/>
                            <w:bottom w:val="none" w:sz="0" w:space="0" w:color="auto"/>
                            <w:right w:val="none" w:sz="0" w:space="0" w:color="auto"/>
                          </w:divBdr>
                          <w:divsChild>
                            <w:div w:id="236212930">
                              <w:marLeft w:val="0"/>
                              <w:marRight w:val="0"/>
                              <w:marTop w:val="0"/>
                              <w:marBottom w:val="0"/>
                              <w:divBdr>
                                <w:top w:val="none" w:sz="0" w:space="0" w:color="auto"/>
                                <w:left w:val="none" w:sz="0" w:space="0" w:color="auto"/>
                                <w:bottom w:val="none" w:sz="0" w:space="0" w:color="auto"/>
                                <w:right w:val="none" w:sz="0" w:space="0" w:color="auto"/>
                              </w:divBdr>
                              <w:divsChild>
                                <w:div w:id="1997610430">
                                  <w:marLeft w:val="0"/>
                                  <w:marRight w:val="0"/>
                                  <w:marTop w:val="0"/>
                                  <w:marBottom w:val="0"/>
                                  <w:divBdr>
                                    <w:top w:val="none" w:sz="0" w:space="0" w:color="auto"/>
                                    <w:left w:val="none" w:sz="0" w:space="0" w:color="auto"/>
                                    <w:bottom w:val="none" w:sz="0" w:space="0" w:color="auto"/>
                                    <w:right w:val="none" w:sz="0" w:space="0" w:color="auto"/>
                                  </w:divBdr>
                                  <w:divsChild>
                                    <w:div w:id="1489442197">
                                      <w:marLeft w:val="0"/>
                                      <w:marRight w:val="0"/>
                                      <w:marTop w:val="0"/>
                                      <w:marBottom w:val="120"/>
                                      <w:divBdr>
                                        <w:top w:val="none" w:sz="0" w:space="0" w:color="auto"/>
                                        <w:left w:val="none" w:sz="0" w:space="0" w:color="auto"/>
                                        <w:bottom w:val="none" w:sz="0" w:space="0" w:color="auto"/>
                                        <w:right w:val="none" w:sz="0" w:space="0" w:color="auto"/>
                                      </w:divBdr>
                                      <w:divsChild>
                                        <w:div w:id="2021346662">
                                          <w:marLeft w:val="0"/>
                                          <w:marRight w:val="0"/>
                                          <w:marTop w:val="120"/>
                                          <w:marBottom w:val="120"/>
                                          <w:divBdr>
                                            <w:top w:val="none" w:sz="0" w:space="0" w:color="auto"/>
                                            <w:left w:val="none" w:sz="0" w:space="0" w:color="auto"/>
                                            <w:bottom w:val="none" w:sz="0" w:space="0" w:color="auto"/>
                                            <w:right w:val="none" w:sz="0" w:space="0" w:color="auto"/>
                                          </w:divBdr>
                                          <w:divsChild>
                                            <w:div w:id="15985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49590">
      <w:bodyDiv w:val="1"/>
      <w:marLeft w:val="0"/>
      <w:marRight w:val="0"/>
      <w:marTop w:val="0"/>
      <w:marBottom w:val="0"/>
      <w:divBdr>
        <w:top w:val="none" w:sz="0" w:space="0" w:color="auto"/>
        <w:left w:val="none" w:sz="0" w:space="0" w:color="auto"/>
        <w:bottom w:val="none" w:sz="0" w:space="0" w:color="auto"/>
        <w:right w:val="none" w:sz="0" w:space="0" w:color="auto"/>
      </w:divBdr>
    </w:div>
    <w:div w:id="250816748">
      <w:bodyDiv w:val="1"/>
      <w:marLeft w:val="0"/>
      <w:marRight w:val="0"/>
      <w:marTop w:val="0"/>
      <w:marBottom w:val="0"/>
      <w:divBdr>
        <w:top w:val="none" w:sz="0" w:space="0" w:color="auto"/>
        <w:left w:val="none" w:sz="0" w:space="0" w:color="auto"/>
        <w:bottom w:val="none" w:sz="0" w:space="0" w:color="auto"/>
        <w:right w:val="none" w:sz="0" w:space="0" w:color="auto"/>
      </w:divBdr>
    </w:div>
    <w:div w:id="297880313">
      <w:bodyDiv w:val="1"/>
      <w:marLeft w:val="0"/>
      <w:marRight w:val="0"/>
      <w:marTop w:val="0"/>
      <w:marBottom w:val="0"/>
      <w:divBdr>
        <w:top w:val="none" w:sz="0" w:space="0" w:color="auto"/>
        <w:left w:val="none" w:sz="0" w:space="0" w:color="auto"/>
        <w:bottom w:val="none" w:sz="0" w:space="0" w:color="auto"/>
        <w:right w:val="none" w:sz="0" w:space="0" w:color="auto"/>
      </w:divBdr>
    </w:div>
    <w:div w:id="404306238">
      <w:bodyDiv w:val="1"/>
      <w:marLeft w:val="0"/>
      <w:marRight w:val="0"/>
      <w:marTop w:val="0"/>
      <w:marBottom w:val="0"/>
      <w:divBdr>
        <w:top w:val="none" w:sz="0" w:space="0" w:color="auto"/>
        <w:left w:val="none" w:sz="0" w:space="0" w:color="auto"/>
        <w:bottom w:val="none" w:sz="0" w:space="0" w:color="auto"/>
        <w:right w:val="none" w:sz="0" w:space="0" w:color="auto"/>
      </w:divBdr>
    </w:div>
    <w:div w:id="508252128">
      <w:bodyDiv w:val="1"/>
      <w:marLeft w:val="0"/>
      <w:marRight w:val="0"/>
      <w:marTop w:val="0"/>
      <w:marBottom w:val="0"/>
      <w:divBdr>
        <w:top w:val="none" w:sz="0" w:space="0" w:color="auto"/>
        <w:left w:val="none" w:sz="0" w:space="0" w:color="auto"/>
        <w:bottom w:val="none" w:sz="0" w:space="0" w:color="auto"/>
        <w:right w:val="none" w:sz="0" w:space="0" w:color="auto"/>
      </w:divBdr>
    </w:div>
    <w:div w:id="525874114">
      <w:bodyDiv w:val="1"/>
      <w:marLeft w:val="0"/>
      <w:marRight w:val="0"/>
      <w:marTop w:val="0"/>
      <w:marBottom w:val="0"/>
      <w:divBdr>
        <w:top w:val="none" w:sz="0" w:space="0" w:color="auto"/>
        <w:left w:val="none" w:sz="0" w:space="0" w:color="auto"/>
        <w:bottom w:val="none" w:sz="0" w:space="0" w:color="auto"/>
        <w:right w:val="none" w:sz="0" w:space="0" w:color="auto"/>
      </w:divBdr>
    </w:div>
    <w:div w:id="618027962">
      <w:bodyDiv w:val="1"/>
      <w:marLeft w:val="0"/>
      <w:marRight w:val="0"/>
      <w:marTop w:val="0"/>
      <w:marBottom w:val="0"/>
      <w:divBdr>
        <w:top w:val="none" w:sz="0" w:space="0" w:color="auto"/>
        <w:left w:val="none" w:sz="0" w:space="0" w:color="auto"/>
        <w:bottom w:val="none" w:sz="0" w:space="0" w:color="auto"/>
        <w:right w:val="none" w:sz="0" w:space="0" w:color="auto"/>
      </w:divBdr>
      <w:divsChild>
        <w:div w:id="509956583">
          <w:marLeft w:val="0"/>
          <w:marRight w:val="0"/>
          <w:marTop w:val="0"/>
          <w:marBottom w:val="0"/>
          <w:divBdr>
            <w:top w:val="none" w:sz="0" w:space="0" w:color="auto"/>
            <w:left w:val="none" w:sz="0" w:space="0" w:color="auto"/>
            <w:bottom w:val="none" w:sz="0" w:space="0" w:color="auto"/>
            <w:right w:val="none" w:sz="0" w:space="0" w:color="auto"/>
          </w:divBdr>
          <w:divsChild>
            <w:div w:id="961879596">
              <w:marLeft w:val="0"/>
              <w:marRight w:val="0"/>
              <w:marTop w:val="0"/>
              <w:marBottom w:val="0"/>
              <w:divBdr>
                <w:top w:val="none" w:sz="0" w:space="0" w:color="auto"/>
                <w:left w:val="none" w:sz="0" w:space="0" w:color="auto"/>
                <w:bottom w:val="none" w:sz="0" w:space="0" w:color="auto"/>
                <w:right w:val="none" w:sz="0" w:space="0" w:color="auto"/>
              </w:divBdr>
              <w:divsChild>
                <w:div w:id="1619801457">
                  <w:marLeft w:val="0"/>
                  <w:marRight w:val="0"/>
                  <w:marTop w:val="0"/>
                  <w:marBottom w:val="0"/>
                  <w:divBdr>
                    <w:top w:val="none" w:sz="0" w:space="0" w:color="auto"/>
                    <w:left w:val="none" w:sz="0" w:space="0" w:color="auto"/>
                    <w:bottom w:val="none" w:sz="0" w:space="0" w:color="auto"/>
                    <w:right w:val="none" w:sz="0" w:space="0" w:color="auto"/>
                  </w:divBdr>
                  <w:divsChild>
                    <w:div w:id="1906181209">
                      <w:marLeft w:val="825"/>
                      <w:marRight w:val="0"/>
                      <w:marTop w:val="0"/>
                      <w:marBottom w:val="0"/>
                      <w:divBdr>
                        <w:top w:val="none" w:sz="0" w:space="0" w:color="auto"/>
                        <w:left w:val="none" w:sz="0" w:space="0" w:color="auto"/>
                        <w:bottom w:val="none" w:sz="0" w:space="0" w:color="auto"/>
                        <w:right w:val="none" w:sz="0" w:space="0" w:color="auto"/>
                      </w:divBdr>
                      <w:divsChild>
                        <w:div w:id="63529880">
                          <w:marLeft w:val="0"/>
                          <w:marRight w:val="0"/>
                          <w:marTop w:val="0"/>
                          <w:marBottom w:val="0"/>
                          <w:divBdr>
                            <w:top w:val="none" w:sz="0" w:space="0" w:color="auto"/>
                            <w:left w:val="none" w:sz="0" w:space="0" w:color="auto"/>
                            <w:bottom w:val="none" w:sz="0" w:space="0" w:color="auto"/>
                            <w:right w:val="none" w:sz="0" w:space="0" w:color="auto"/>
                          </w:divBdr>
                          <w:divsChild>
                            <w:div w:id="2038458525">
                              <w:marLeft w:val="0"/>
                              <w:marRight w:val="0"/>
                              <w:marTop w:val="0"/>
                              <w:marBottom w:val="300"/>
                              <w:divBdr>
                                <w:top w:val="none" w:sz="0" w:space="0" w:color="auto"/>
                                <w:left w:val="none" w:sz="0" w:space="0" w:color="auto"/>
                                <w:bottom w:val="none" w:sz="0" w:space="0" w:color="auto"/>
                                <w:right w:val="none" w:sz="0" w:space="0" w:color="auto"/>
                              </w:divBdr>
                            </w:div>
                            <w:div w:id="1683701167">
                              <w:marLeft w:val="0"/>
                              <w:marRight w:val="0"/>
                              <w:marTop w:val="0"/>
                              <w:marBottom w:val="0"/>
                              <w:divBdr>
                                <w:top w:val="none" w:sz="0" w:space="0" w:color="auto"/>
                                <w:left w:val="none" w:sz="0" w:space="0" w:color="auto"/>
                                <w:bottom w:val="none" w:sz="0" w:space="0" w:color="auto"/>
                                <w:right w:val="none" w:sz="0" w:space="0" w:color="auto"/>
                              </w:divBdr>
                              <w:divsChild>
                                <w:div w:id="1356806657">
                                  <w:marLeft w:val="0"/>
                                  <w:marRight w:val="0"/>
                                  <w:marTop w:val="150"/>
                                  <w:marBottom w:val="0"/>
                                  <w:divBdr>
                                    <w:top w:val="none" w:sz="0" w:space="0" w:color="auto"/>
                                    <w:left w:val="none" w:sz="0" w:space="0" w:color="auto"/>
                                    <w:bottom w:val="none" w:sz="0" w:space="0" w:color="auto"/>
                                    <w:right w:val="none" w:sz="0" w:space="0" w:color="auto"/>
                                  </w:divBdr>
                                  <w:divsChild>
                                    <w:div w:id="911698144">
                                      <w:marLeft w:val="0"/>
                                      <w:marRight w:val="0"/>
                                      <w:marTop w:val="0"/>
                                      <w:marBottom w:val="0"/>
                                      <w:divBdr>
                                        <w:top w:val="none" w:sz="0" w:space="0" w:color="auto"/>
                                        <w:left w:val="none" w:sz="0" w:space="0" w:color="auto"/>
                                        <w:bottom w:val="none" w:sz="0" w:space="0" w:color="auto"/>
                                        <w:right w:val="none" w:sz="0" w:space="0" w:color="auto"/>
                                      </w:divBdr>
                                      <w:divsChild>
                                        <w:div w:id="1870951277">
                                          <w:marLeft w:val="0"/>
                                          <w:marRight w:val="0"/>
                                          <w:marTop w:val="0"/>
                                          <w:marBottom w:val="0"/>
                                          <w:divBdr>
                                            <w:top w:val="none" w:sz="0" w:space="0" w:color="auto"/>
                                            <w:left w:val="none" w:sz="0" w:space="0" w:color="auto"/>
                                            <w:bottom w:val="none" w:sz="0" w:space="0" w:color="auto"/>
                                            <w:right w:val="none" w:sz="0" w:space="0" w:color="auto"/>
                                          </w:divBdr>
                                        </w:div>
                                      </w:divsChild>
                                    </w:div>
                                    <w:div w:id="1032995382">
                                      <w:marLeft w:val="0"/>
                                      <w:marRight w:val="0"/>
                                      <w:marTop w:val="0"/>
                                      <w:marBottom w:val="0"/>
                                      <w:divBdr>
                                        <w:top w:val="none" w:sz="0" w:space="0" w:color="auto"/>
                                        <w:left w:val="none" w:sz="0" w:space="0" w:color="auto"/>
                                        <w:bottom w:val="none" w:sz="0" w:space="0" w:color="auto"/>
                                        <w:right w:val="none" w:sz="0" w:space="0" w:color="auto"/>
                                      </w:divBdr>
                                      <w:divsChild>
                                        <w:div w:id="2018925386">
                                          <w:marLeft w:val="0"/>
                                          <w:marRight w:val="0"/>
                                          <w:marTop w:val="0"/>
                                          <w:marBottom w:val="0"/>
                                          <w:divBdr>
                                            <w:top w:val="none" w:sz="0" w:space="0" w:color="auto"/>
                                            <w:left w:val="none" w:sz="0" w:space="0" w:color="auto"/>
                                            <w:bottom w:val="none" w:sz="0" w:space="0" w:color="auto"/>
                                            <w:right w:val="none" w:sz="0" w:space="0" w:color="auto"/>
                                          </w:divBdr>
                                        </w:div>
                                      </w:divsChild>
                                    </w:div>
                                    <w:div w:id="1402488089">
                                      <w:marLeft w:val="0"/>
                                      <w:marRight w:val="0"/>
                                      <w:marTop w:val="0"/>
                                      <w:marBottom w:val="0"/>
                                      <w:divBdr>
                                        <w:top w:val="none" w:sz="0" w:space="0" w:color="auto"/>
                                        <w:left w:val="none" w:sz="0" w:space="0" w:color="auto"/>
                                        <w:bottom w:val="none" w:sz="0" w:space="0" w:color="auto"/>
                                        <w:right w:val="none" w:sz="0" w:space="0" w:color="auto"/>
                                      </w:divBdr>
                                      <w:divsChild>
                                        <w:div w:id="836068631">
                                          <w:marLeft w:val="0"/>
                                          <w:marRight w:val="0"/>
                                          <w:marTop w:val="0"/>
                                          <w:marBottom w:val="0"/>
                                          <w:divBdr>
                                            <w:top w:val="none" w:sz="0" w:space="0" w:color="auto"/>
                                            <w:left w:val="none" w:sz="0" w:space="0" w:color="auto"/>
                                            <w:bottom w:val="none" w:sz="0" w:space="0" w:color="auto"/>
                                            <w:right w:val="none" w:sz="0" w:space="0" w:color="auto"/>
                                          </w:divBdr>
                                        </w:div>
                                      </w:divsChild>
                                    </w:div>
                                    <w:div w:id="1225414181">
                                      <w:marLeft w:val="0"/>
                                      <w:marRight w:val="0"/>
                                      <w:marTop w:val="0"/>
                                      <w:marBottom w:val="0"/>
                                      <w:divBdr>
                                        <w:top w:val="none" w:sz="0" w:space="0" w:color="auto"/>
                                        <w:left w:val="none" w:sz="0" w:space="0" w:color="auto"/>
                                        <w:bottom w:val="none" w:sz="0" w:space="0" w:color="auto"/>
                                        <w:right w:val="none" w:sz="0" w:space="0" w:color="auto"/>
                                      </w:divBdr>
                                      <w:divsChild>
                                        <w:div w:id="20370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335">
                                  <w:marLeft w:val="0"/>
                                  <w:marRight w:val="0"/>
                                  <w:marTop w:val="0"/>
                                  <w:marBottom w:val="0"/>
                                  <w:divBdr>
                                    <w:top w:val="none" w:sz="0" w:space="0" w:color="auto"/>
                                    <w:left w:val="none" w:sz="0" w:space="0" w:color="auto"/>
                                    <w:bottom w:val="none" w:sz="0" w:space="0" w:color="auto"/>
                                    <w:right w:val="none" w:sz="0" w:space="0" w:color="auto"/>
                                  </w:divBdr>
                                </w:div>
                                <w:div w:id="1635911874">
                                  <w:marLeft w:val="0"/>
                                  <w:marRight w:val="0"/>
                                  <w:marTop w:val="0"/>
                                  <w:marBottom w:val="0"/>
                                  <w:divBdr>
                                    <w:top w:val="none" w:sz="0" w:space="0" w:color="auto"/>
                                    <w:left w:val="none" w:sz="0" w:space="0" w:color="auto"/>
                                    <w:bottom w:val="none" w:sz="0" w:space="0" w:color="auto"/>
                                    <w:right w:val="none" w:sz="0" w:space="0" w:color="auto"/>
                                  </w:divBdr>
                                </w:div>
                                <w:div w:id="336538380">
                                  <w:marLeft w:val="0"/>
                                  <w:marRight w:val="0"/>
                                  <w:marTop w:val="0"/>
                                  <w:marBottom w:val="0"/>
                                  <w:divBdr>
                                    <w:top w:val="none" w:sz="0" w:space="0" w:color="auto"/>
                                    <w:left w:val="none" w:sz="0" w:space="0" w:color="auto"/>
                                    <w:bottom w:val="none" w:sz="0" w:space="0" w:color="auto"/>
                                    <w:right w:val="none" w:sz="0" w:space="0" w:color="auto"/>
                                  </w:divBdr>
                                </w:div>
                                <w:div w:id="41641466">
                                  <w:marLeft w:val="0"/>
                                  <w:marRight w:val="0"/>
                                  <w:marTop w:val="0"/>
                                  <w:marBottom w:val="0"/>
                                  <w:divBdr>
                                    <w:top w:val="none" w:sz="0" w:space="0" w:color="auto"/>
                                    <w:left w:val="none" w:sz="0" w:space="0" w:color="auto"/>
                                    <w:bottom w:val="none" w:sz="0" w:space="0" w:color="auto"/>
                                    <w:right w:val="none" w:sz="0" w:space="0" w:color="auto"/>
                                  </w:divBdr>
                                </w:div>
                                <w:div w:id="1153106734">
                                  <w:marLeft w:val="0"/>
                                  <w:marRight w:val="0"/>
                                  <w:marTop w:val="0"/>
                                  <w:marBottom w:val="0"/>
                                  <w:divBdr>
                                    <w:top w:val="none" w:sz="0" w:space="0" w:color="auto"/>
                                    <w:left w:val="none" w:sz="0" w:space="0" w:color="auto"/>
                                    <w:bottom w:val="none" w:sz="0" w:space="0" w:color="auto"/>
                                    <w:right w:val="none" w:sz="0" w:space="0" w:color="auto"/>
                                  </w:divBdr>
                                </w:div>
                                <w:div w:id="12264741">
                                  <w:marLeft w:val="0"/>
                                  <w:marRight w:val="0"/>
                                  <w:marTop w:val="0"/>
                                  <w:marBottom w:val="0"/>
                                  <w:divBdr>
                                    <w:top w:val="none" w:sz="0" w:space="0" w:color="auto"/>
                                    <w:left w:val="none" w:sz="0" w:space="0" w:color="auto"/>
                                    <w:bottom w:val="none" w:sz="0" w:space="0" w:color="auto"/>
                                    <w:right w:val="none" w:sz="0" w:space="0" w:color="auto"/>
                                  </w:divBdr>
                                </w:div>
                                <w:div w:id="580260306">
                                  <w:marLeft w:val="0"/>
                                  <w:marRight w:val="0"/>
                                  <w:marTop w:val="0"/>
                                  <w:marBottom w:val="0"/>
                                  <w:divBdr>
                                    <w:top w:val="none" w:sz="0" w:space="0" w:color="auto"/>
                                    <w:left w:val="none" w:sz="0" w:space="0" w:color="auto"/>
                                    <w:bottom w:val="none" w:sz="0" w:space="0" w:color="auto"/>
                                    <w:right w:val="none" w:sz="0" w:space="0" w:color="auto"/>
                                  </w:divBdr>
                                </w:div>
                                <w:div w:id="850530460">
                                  <w:marLeft w:val="0"/>
                                  <w:marRight w:val="0"/>
                                  <w:marTop w:val="0"/>
                                  <w:marBottom w:val="0"/>
                                  <w:divBdr>
                                    <w:top w:val="none" w:sz="0" w:space="0" w:color="auto"/>
                                    <w:left w:val="none" w:sz="0" w:space="0" w:color="auto"/>
                                    <w:bottom w:val="none" w:sz="0" w:space="0" w:color="auto"/>
                                    <w:right w:val="none" w:sz="0" w:space="0" w:color="auto"/>
                                  </w:divBdr>
                                </w:div>
                                <w:div w:id="747264646">
                                  <w:marLeft w:val="0"/>
                                  <w:marRight w:val="0"/>
                                  <w:marTop w:val="0"/>
                                  <w:marBottom w:val="0"/>
                                  <w:divBdr>
                                    <w:top w:val="none" w:sz="0" w:space="0" w:color="auto"/>
                                    <w:left w:val="none" w:sz="0" w:space="0" w:color="auto"/>
                                    <w:bottom w:val="none" w:sz="0" w:space="0" w:color="auto"/>
                                    <w:right w:val="none" w:sz="0" w:space="0" w:color="auto"/>
                                  </w:divBdr>
                                </w:div>
                                <w:div w:id="2016609467">
                                  <w:marLeft w:val="0"/>
                                  <w:marRight w:val="0"/>
                                  <w:marTop w:val="0"/>
                                  <w:marBottom w:val="0"/>
                                  <w:divBdr>
                                    <w:top w:val="none" w:sz="0" w:space="0" w:color="auto"/>
                                    <w:left w:val="none" w:sz="0" w:space="0" w:color="auto"/>
                                    <w:bottom w:val="none" w:sz="0" w:space="0" w:color="auto"/>
                                    <w:right w:val="none" w:sz="0" w:space="0" w:color="auto"/>
                                  </w:divBdr>
                                </w:div>
                                <w:div w:id="1996912617">
                                  <w:marLeft w:val="0"/>
                                  <w:marRight w:val="0"/>
                                  <w:marTop w:val="0"/>
                                  <w:marBottom w:val="0"/>
                                  <w:divBdr>
                                    <w:top w:val="none" w:sz="0" w:space="0" w:color="auto"/>
                                    <w:left w:val="none" w:sz="0" w:space="0" w:color="auto"/>
                                    <w:bottom w:val="none" w:sz="0" w:space="0" w:color="auto"/>
                                    <w:right w:val="none" w:sz="0" w:space="0" w:color="auto"/>
                                  </w:divBdr>
                                </w:div>
                                <w:div w:id="16078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241262">
      <w:bodyDiv w:val="1"/>
      <w:marLeft w:val="0"/>
      <w:marRight w:val="0"/>
      <w:marTop w:val="0"/>
      <w:marBottom w:val="0"/>
      <w:divBdr>
        <w:top w:val="none" w:sz="0" w:space="0" w:color="auto"/>
        <w:left w:val="none" w:sz="0" w:space="0" w:color="auto"/>
        <w:bottom w:val="none" w:sz="0" w:space="0" w:color="auto"/>
        <w:right w:val="none" w:sz="0" w:space="0" w:color="auto"/>
      </w:divBdr>
    </w:div>
    <w:div w:id="718826135">
      <w:bodyDiv w:val="1"/>
      <w:marLeft w:val="0"/>
      <w:marRight w:val="0"/>
      <w:marTop w:val="0"/>
      <w:marBottom w:val="0"/>
      <w:divBdr>
        <w:top w:val="none" w:sz="0" w:space="0" w:color="auto"/>
        <w:left w:val="none" w:sz="0" w:space="0" w:color="auto"/>
        <w:bottom w:val="none" w:sz="0" w:space="0" w:color="auto"/>
        <w:right w:val="none" w:sz="0" w:space="0" w:color="auto"/>
      </w:divBdr>
      <w:divsChild>
        <w:div w:id="286083506">
          <w:marLeft w:val="0"/>
          <w:marRight w:val="0"/>
          <w:marTop w:val="0"/>
          <w:marBottom w:val="0"/>
          <w:divBdr>
            <w:top w:val="none" w:sz="0" w:space="0" w:color="auto"/>
            <w:left w:val="none" w:sz="0" w:space="0" w:color="auto"/>
            <w:bottom w:val="none" w:sz="0" w:space="0" w:color="auto"/>
            <w:right w:val="none" w:sz="0" w:space="0" w:color="auto"/>
          </w:divBdr>
        </w:div>
        <w:div w:id="1162962986">
          <w:marLeft w:val="0"/>
          <w:marRight w:val="0"/>
          <w:marTop w:val="0"/>
          <w:marBottom w:val="0"/>
          <w:divBdr>
            <w:top w:val="none" w:sz="0" w:space="0" w:color="auto"/>
            <w:left w:val="none" w:sz="0" w:space="0" w:color="auto"/>
            <w:bottom w:val="none" w:sz="0" w:space="0" w:color="auto"/>
            <w:right w:val="none" w:sz="0" w:space="0" w:color="auto"/>
          </w:divBdr>
        </w:div>
        <w:div w:id="881360603">
          <w:marLeft w:val="0"/>
          <w:marRight w:val="0"/>
          <w:marTop w:val="0"/>
          <w:marBottom w:val="0"/>
          <w:divBdr>
            <w:top w:val="none" w:sz="0" w:space="0" w:color="auto"/>
            <w:left w:val="none" w:sz="0" w:space="0" w:color="auto"/>
            <w:bottom w:val="none" w:sz="0" w:space="0" w:color="auto"/>
            <w:right w:val="none" w:sz="0" w:space="0" w:color="auto"/>
          </w:divBdr>
        </w:div>
        <w:div w:id="919606202">
          <w:marLeft w:val="0"/>
          <w:marRight w:val="0"/>
          <w:marTop w:val="0"/>
          <w:marBottom w:val="0"/>
          <w:divBdr>
            <w:top w:val="none" w:sz="0" w:space="0" w:color="auto"/>
            <w:left w:val="none" w:sz="0" w:space="0" w:color="auto"/>
            <w:bottom w:val="none" w:sz="0" w:space="0" w:color="auto"/>
            <w:right w:val="none" w:sz="0" w:space="0" w:color="auto"/>
          </w:divBdr>
        </w:div>
      </w:divsChild>
    </w:div>
    <w:div w:id="748431788">
      <w:bodyDiv w:val="1"/>
      <w:marLeft w:val="0"/>
      <w:marRight w:val="0"/>
      <w:marTop w:val="0"/>
      <w:marBottom w:val="0"/>
      <w:divBdr>
        <w:top w:val="none" w:sz="0" w:space="0" w:color="auto"/>
        <w:left w:val="none" w:sz="0" w:space="0" w:color="auto"/>
        <w:bottom w:val="none" w:sz="0" w:space="0" w:color="auto"/>
        <w:right w:val="none" w:sz="0" w:space="0" w:color="auto"/>
      </w:divBdr>
    </w:div>
    <w:div w:id="754939597">
      <w:bodyDiv w:val="1"/>
      <w:marLeft w:val="0"/>
      <w:marRight w:val="0"/>
      <w:marTop w:val="0"/>
      <w:marBottom w:val="0"/>
      <w:divBdr>
        <w:top w:val="none" w:sz="0" w:space="0" w:color="auto"/>
        <w:left w:val="none" w:sz="0" w:space="0" w:color="auto"/>
        <w:bottom w:val="none" w:sz="0" w:space="0" w:color="auto"/>
        <w:right w:val="none" w:sz="0" w:space="0" w:color="auto"/>
      </w:divBdr>
    </w:div>
    <w:div w:id="789515421">
      <w:bodyDiv w:val="1"/>
      <w:marLeft w:val="0"/>
      <w:marRight w:val="0"/>
      <w:marTop w:val="0"/>
      <w:marBottom w:val="0"/>
      <w:divBdr>
        <w:top w:val="none" w:sz="0" w:space="0" w:color="auto"/>
        <w:left w:val="none" w:sz="0" w:space="0" w:color="auto"/>
        <w:bottom w:val="none" w:sz="0" w:space="0" w:color="auto"/>
        <w:right w:val="none" w:sz="0" w:space="0" w:color="auto"/>
      </w:divBdr>
    </w:div>
    <w:div w:id="883102402">
      <w:bodyDiv w:val="1"/>
      <w:marLeft w:val="0"/>
      <w:marRight w:val="0"/>
      <w:marTop w:val="0"/>
      <w:marBottom w:val="0"/>
      <w:divBdr>
        <w:top w:val="none" w:sz="0" w:space="0" w:color="auto"/>
        <w:left w:val="none" w:sz="0" w:space="0" w:color="auto"/>
        <w:bottom w:val="none" w:sz="0" w:space="0" w:color="auto"/>
        <w:right w:val="none" w:sz="0" w:space="0" w:color="auto"/>
      </w:divBdr>
      <w:divsChild>
        <w:div w:id="1101998681">
          <w:marLeft w:val="0"/>
          <w:marRight w:val="0"/>
          <w:marTop w:val="0"/>
          <w:marBottom w:val="0"/>
          <w:divBdr>
            <w:top w:val="none" w:sz="0" w:space="0" w:color="auto"/>
            <w:left w:val="none" w:sz="0" w:space="0" w:color="auto"/>
            <w:bottom w:val="none" w:sz="0" w:space="0" w:color="auto"/>
            <w:right w:val="none" w:sz="0" w:space="0" w:color="auto"/>
          </w:divBdr>
          <w:divsChild>
            <w:div w:id="1340426820">
              <w:marLeft w:val="0"/>
              <w:marRight w:val="0"/>
              <w:marTop w:val="0"/>
              <w:marBottom w:val="0"/>
              <w:divBdr>
                <w:top w:val="none" w:sz="0" w:space="0" w:color="auto"/>
                <w:left w:val="none" w:sz="0" w:space="0" w:color="auto"/>
                <w:bottom w:val="none" w:sz="0" w:space="0" w:color="auto"/>
                <w:right w:val="none" w:sz="0" w:space="0" w:color="auto"/>
              </w:divBdr>
              <w:divsChild>
                <w:div w:id="1474062172">
                  <w:marLeft w:val="0"/>
                  <w:marRight w:val="0"/>
                  <w:marTop w:val="0"/>
                  <w:marBottom w:val="0"/>
                  <w:divBdr>
                    <w:top w:val="none" w:sz="0" w:space="0" w:color="auto"/>
                    <w:left w:val="none" w:sz="0" w:space="0" w:color="auto"/>
                    <w:bottom w:val="none" w:sz="0" w:space="0" w:color="auto"/>
                    <w:right w:val="none" w:sz="0" w:space="0" w:color="auto"/>
                  </w:divBdr>
                  <w:divsChild>
                    <w:div w:id="1941252555">
                      <w:marLeft w:val="4275"/>
                      <w:marRight w:val="0"/>
                      <w:marTop w:val="0"/>
                      <w:marBottom w:val="0"/>
                      <w:divBdr>
                        <w:top w:val="none" w:sz="0" w:space="0" w:color="auto"/>
                        <w:left w:val="none" w:sz="0" w:space="0" w:color="auto"/>
                        <w:bottom w:val="none" w:sz="0" w:space="0" w:color="auto"/>
                        <w:right w:val="none" w:sz="0" w:space="0" w:color="auto"/>
                      </w:divBdr>
                      <w:divsChild>
                        <w:div w:id="679743122">
                          <w:marLeft w:val="0"/>
                          <w:marRight w:val="0"/>
                          <w:marTop w:val="0"/>
                          <w:marBottom w:val="0"/>
                          <w:divBdr>
                            <w:top w:val="none" w:sz="0" w:space="0" w:color="auto"/>
                            <w:left w:val="none" w:sz="0" w:space="0" w:color="auto"/>
                            <w:bottom w:val="none" w:sz="0" w:space="0" w:color="auto"/>
                            <w:right w:val="none" w:sz="0" w:space="0" w:color="auto"/>
                          </w:divBdr>
                          <w:divsChild>
                            <w:div w:id="100994981">
                              <w:marLeft w:val="0"/>
                              <w:marRight w:val="0"/>
                              <w:marTop w:val="0"/>
                              <w:marBottom w:val="0"/>
                              <w:divBdr>
                                <w:top w:val="none" w:sz="0" w:space="0" w:color="auto"/>
                                <w:left w:val="none" w:sz="0" w:space="0" w:color="auto"/>
                                <w:bottom w:val="none" w:sz="0" w:space="0" w:color="auto"/>
                                <w:right w:val="none" w:sz="0" w:space="0" w:color="auto"/>
                              </w:divBdr>
                              <w:divsChild>
                                <w:div w:id="1309088186">
                                  <w:marLeft w:val="0"/>
                                  <w:marRight w:val="0"/>
                                  <w:marTop w:val="0"/>
                                  <w:marBottom w:val="0"/>
                                  <w:divBdr>
                                    <w:top w:val="none" w:sz="0" w:space="0" w:color="auto"/>
                                    <w:left w:val="none" w:sz="0" w:space="0" w:color="auto"/>
                                    <w:bottom w:val="none" w:sz="0" w:space="0" w:color="auto"/>
                                    <w:right w:val="none" w:sz="0" w:space="0" w:color="auto"/>
                                  </w:divBdr>
                                  <w:divsChild>
                                    <w:div w:id="1709644524">
                                      <w:marLeft w:val="0"/>
                                      <w:marRight w:val="0"/>
                                      <w:marTop w:val="0"/>
                                      <w:marBottom w:val="120"/>
                                      <w:divBdr>
                                        <w:top w:val="none" w:sz="0" w:space="0" w:color="auto"/>
                                        <w:left w:val="none" w:sz="0" w:space="0" w:color="auto"/>
                                        <w:bottom w:val="none" w:sz="0" w:space="0" w:color="auto"/>
                                        <w:right w:val="none" w:sz="0" w:space="0" w:color="auto"/>
                                      </w:divBdr>
                                      <w:divsChild>
                                        <w:div w:id="547452625">
                                          <w:marLeft w:val="0"/>
                                          <w:marRight w:val="0"/>
                                          <w:marTop w:val="120"/>
                                          <w:marBottom w:val="120"/>
                                          <w:divBdr>
                                            <w:top w:val="none" w:sz="0" w:space="0" w:color="auto"/>
                                            <w:left w:val="none" w:sz="0" w:space="0" w:color="auto"/>
                                            <w:bottom w:val="none" w:sz="0" w:space="0" w:color="auto"/>
                                            <w:right w:val="none" w:sz="0" w:space="0" w:color="auto"/>
                                          </w:divBdr>
                                          <w:divsChild>
                                            <w:div w:id="7736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373037">
      <w:bodyDiv w:val="1"/>
      <w:marLeft w:val="0"/>
      <w:marRight w:val="0"/>
      <w:marTop w:val="0"/>
      <w:marBottom w:val="0"/>
      <w:divBdr>
        <w:top w:val="none" w:sz="0" w:space="0" w:color="auto"/>
        <w:left w:val="none" w:sz="0" w:space="0" w:color="auto"/>
        <w:bottom w:val="none" w:sz="0" w:space="0" w:color="auto"/>
        <w:right w:val="none" w:sz="0" w:space="0" w:color="auto"/>
      </w:divBdr>
      <w:divsChild>
        <w:div w:id="1561793746">
          <w:marLeft w:val="0"/>
          <w:marRight w:val="0"/>
          <w:marTop w:val="0"/>
          <w:marBottom w:val="0"/>
          <w:divBdr>
            <w:top w:val="none" w:sz="0" w:space="0" w:color="auto"/>
            <w:left w:val="none" w:sz="0" w:space="0" w:color="auto"/>
            <w:bottom w:val="none" w:sz="0" w:space="0" w:color="auto"/>
            <w:right w:val="none" w:sz="0" w:space="0" w:color="auto"/>
          </w:divBdr>
          <w:divsChild>
            <w:div w:id="410930250">
              <w:marLeft w:val="0"/>
              <w:marRight w:val="0"/>
              <w:marTop w:val="0"/>
              <w:marBottom w:val="0"/>
              <w:divBdr>
                <w:top w:val="none" w:sz="0" w:space="0" w:color="auto"/>
                <w:left w:val="none" w:sz="0" w:space="0" w:color="auto"/>
                <w:bottom w:val="none" w:sz="0" w:space="0" w:color="auto"/>
                <w:right w:val="none" w:sz="0" w:space="0" w:color="auto"/>
              </w:divBdr>
              <w:divsChild>
                <w:div w:id="1527526718">
                  <w:marLeft w:val="0"/>
                  <w:marRight w:val="0"/>
                  <w:marTop w:val="0"/>
                  <w:marBottom w:val="0"/>
                  <w:divBdr>
                    <w:top w:val="none" w:sz="0" w:space="0" w:color="auto"/>
                    <w:left w:val="none" w:sz="0" w:space="0" w:color="auto"/>
                    <w:bottom w:val="none" w:sz="0" w:space="0" w:color="auto"/>
                    <w:right w:val="none" w:sz="0" w:space="0" w:color="auto"/>
                  </w:divBdr>
                  <w:divsChild>
                    <w:div w:id="1663462396">
                      <w:marLeft w:val="4275"/>
                      <w:marRight w:val="0"/>
                      <w:marTop w:val="0"/>
                      <w:marBottom w:val="0"/>
                      <w:divBdr>
                        <w:top w:val="none" w:sz="0" w:space="0" w:color="auto"/>
                        <w:left w:val="none" w:sz="0" w:space="0" w:color="auto"/>
                        <w:bottom w:val="none" w:sz="0" w:space="0" w:color="auto"/>
                        <w:right w:val="none" w:sz="0" w:space="0" w:color="auto"/>
                      </w:divBdr>
                      <w:divsChild>
                        <w:div w:id="1716926037">
                          <w:marLeft w:val="0"/>
                          <w:marRight w:val="0"/>
                          <w:marTop w:val="0"/>
                          <w:marBottom w:val="0"/>
                          <w:divBdr>
                            <w:top w:val="none" w:sz="0" w:space="0" w:color="auto"/>
                            <w:left w:val="none" w:sz="0" w:space="0" w:color="auto"/>
                            <w:bottom w:val="none" w:sz="0" w:space="0" w:color="auto"/>
                            <w:right w:val="none" w:sz="0" w:space="0" w:color="auto"/>
                          </w:divBdr>
                          <w:divsChild>
                            <w:div w:id="431049606">
                              <w:marLeft w:val="0"/>
                              <w:marRight w:val="0"/>
                              <w:marTop w:val="0"/>
                              <w:marBottom w:val="0"/>
                              <w:divBdr>
                                <w:top w:val="none" w:sz="0" w:space="0" w:color="auto"/>
                                <w:left w:val="none" w:sz="0" w:space="0" w:color="auto"/>
                                <w:bottom w:val="none" w:sz="0" w:space="0" w:color="auto"/>
                                <w:right w:val="none" w:sz="0" w:space="0" w:color="auto"/>
                              </w:divBdr>
                              <w:divsChild>
                                <w:div w:id="1237860053">
                                  <w:marLeft w:val="0"/>
                                  <w:marRight w:val="0"/>
                                  <w:marTop w:val="0"/>
                                  <w:marBottom w:val="0"/>
                                  <w:divBdr>
                                    <w:top w:val="none" w:sz="0" w:space="0" w:color="auto"/>
                                    <w:left w:val="none" w:sz="0" w:space="0" w:color="auto"/>
                                    <w:bottom w:val="none" w:sz="0" w:space="0" w:color="auto"/>
                                    <w:right w:val="none" w:sz="0" w:space="0" w:color="auto"/>
                                  </w:divBdr>
                                  <w:divsChild>
                                    <w:div w:id="1219781401">
                                      <w:marLeft w:val="0"/>
                                      <w:marRight w:val="0"/>
                                      <w:marTop w:val="0"/>
                                      <w:marBottom w:val="120"/>
                                      <w:divBdr>
                                        <w:top w:val="none" w:sz="0" w:space="0" w:color="auto"/>
                                        <w:left w:val="none" w:sz="0" w:space="0" w:color="auto"/>
                                        <w:bottom w:val="none" w:sz="0" w:space="0" w:color="auto"/>
                                        <w:right w:val="none" w:sz="0" w:space="0" w:color="auto"/>
                                      </w:divBdr>
                                      <w:divsChild>
                                        <w:div w:id="1114665974">
                                          <w:marLeft w:val="0"/>
                                          <w:marRight w:val="0"/>
                                          <w:marTop w:val="120"/>
                                          <w:marBottom w:val="120"/>
                                          <w:divBdr>
                                            <w:top w:val="none" w:sz="0" w:space="0" w:color="auto"/>
                                            <w:left w:val="none" w:sz="0" w:space="0" w:color="auto"/>
                                            <w:bottom w:val="none" w:sz="0" w:space="0" w:color="auto"/>
                                            <w:right w:val="none" w:sz="0" w:space="0" w:color="auto"/>
                                          </w:divBdr>
                                          <w:divsChild>
                                            <w:div w:id="5375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854998">
      <w:bodyDiv w:val="1"/>
      <w:marLeft w:val="0"/>
      <w:marRight w:val="0"/>
      <w:marTop w:val="0"/>
      <w:marBottom w:val="0"/>
      <w:divBdr>
        <w:top w:val="none" w:sz="0" w:space="0" w:color="auto"/>
        <w:left w:val="none" w:sz="0" w:space="0" w:color="auto"/>
        <w:bottom w:val="none" w:sz="0" w:space="0" w:color="auto"/>
        <w:right w:val="none" w:sz="0" w:space="0" w:color="auto"/>
      </w:divBdr>
    </w:div>
    <w:div w:id="1917125382">
      <w:bodyDiv w:val="1"/>
      <w:marLeft w:val="0"/>
      <w:marRight w:val="0"/>
      <w:marTop w:val="0"/>
      <w:marBottom w:val="0"/>
      <w:divBdr>
        <w:top w:val="none" w:sz="0" w:space="0" w:color="auto"/>
        <w:left w:val="none" w:sz="0" w:space="0" w:color="auto"/>
        <w:bottom w:val="none" w:sz="0" w:space="0" w:color="auto"/>
        <w:right w:val="none" w:sz="0" w:space="0" w:color="auto"/>
      </w:divBdr>
      <w:divsChild>
        <w:div w:id="2124415746">
          <w:marLeft w:val="0"/>
          <w:marRight w:val="0"/>
          <w:marTop w:val="0"/>
          <w:marBottom w:val="0"/>
          <w:divBdr>
            <w:top w:val="none" w:sz="0" w:space="0" w:color="auto"/>
            <w:left w:val="none" w:sz="0" w:space="0" w:color="auto"/>
            <w:bottom w:val="none" w:sz="0" w:space="0" w:color="auto"/>
            <w:right w:val="none" w:sz="0" w:space="0" w:color="auto"/>
          </w:divBdr>
          <w:divsChild>
            <w:div w:id="27142574">
              <w:marLeft w:val="0"/>
              <w:marRight w:val="0"/>
              <w:marTop w:val="0"/>
              <w:marBottom w:val="0"/>
              <w:divBdr>
                <w:top w:val="none" w:sz="0" w:space="0" w:color="auto"/>
                <w:left w:val="none" w:sz="0" w:space="0" w:color="auto"/>
                <w:bottom w:val="none" w:sz="0" w:space="0" w:color="auto"/>
                <w:right w:val="none" w:sz="0" w:space="0" w:color="auto"/>
              </w:divBdr>
              <w:divsChild>
                <w:div w:id="1896968143">
                  <w:marLeft w:val="0"/>
                  <w:marRight w:val="0"/>
                  <w:marTop w:val="0"/>
                  <w:marBottom w:val="0"/>
                  <w:divBdr>
                    <w:top w:val="none" w:sz="0" w:space="0" w:color="auto"/>
                    <w:left w:val="none" w:sz="0" w:space="0" w:color="auto"/>
                    <w:bottom w:val="none" w:sz="0" w:space="0" w:color="auto"/>
                    <w:right w:val="none" w:sz="0" w:space="0" w:color="auto"/>
                  </w:divBdr>
                  <w:divsChild>
                    <w:div w:id="1254586256">
                      <w:marLeft w:val="4275"/>
                      <w:marRight w:val="0"/>
                      <w:marTop w:val="0"/>
                      <w:marBottom w:val="0"/>
                      <w:divBdr>
                        <w:top w:val="none" w:sz="0" w:space="0" w:color="auto"/>
                        <w:left w:val="none" w:sz="0" w:space="0" w:color="auto"/>
                        <w:bottom w:val="none" w:sz="0" w:space="0" w:color="auto"/>
                        <w:right w:val="none" w:sz="0" w:space="0" w:color="auto"/>
                      </w:divBdr>
                      <w:divsChild>
                        <w:div w:id="944964296">
                          <w:marLeft w:val="0"/>
                          <w:marRight w:val="0"/>
                          <w:marTop w:val="0"/>
                          <w:marBottom w:val="0"/>
                          <w:divBdr>
                            <w:top w:val="none" w:sz="0" w:space="0" w:color="auto"/>
                            <w:left w:val="none" w:sz="0" w:space="0" w:color="auto"/>
                            <w:bottom w:val="none" w:sz="0" w:space="0" w:color="auto"/>
                            <w:right w:val="none" w:sz="0" w:space="0" w:color="auto"/>
                          </w:divBdr>
                          <w:divsChild>
                            <w:div w:id="234361605">
                              <w:marLeft w:val="0"/>
                              <w:marRight w:val="0"/>
                              <w:marTop w:val="0"/>
                              <w:marBottom w:val="0"/>
                              <w:divBdr>
                                <w:top w:val="none" w:sz="0" w:space="0" w:color="auto"/>
                                <w:left w:val="none" w:sz="0" w:space="0" w:color="auto"/>
                                <w:bottom w:val="none" w:sz="0" w:space="0" w:color="auto"/>
                                <w:right w:val="none" w:sz="0" w:space="0" w:color="auto"/>
                              </w:divBdr>
                              <w:divsChild>
                                <w:div w:id="990214136">
                                  <w:marLeft w:val="0"/>
                                  <w:marRight w:val="0"/>
                                  <w:marTop w:val="0"/>
                                  <w:marBottom w:val="0"/>
                                  <w:divBdr>
                                    <w:top w:val="none" w:sz="0" w:space="0" w:color="auto"/>
                                    <w:left w:val="none" w:sz="0" w:space="0" w:color="auto"/>
                                    <w:bottom w:val="none" w:sz="0" w:space="0" w:color="auto"/>
                                    <w:right w:val="none" w:sz="0" w:space="0" w:color="auto"/>
                                  </w:divBdr>
                                  <w:divsChild>
                                    <w:div w:id="486242074">
                                      <w:marLeft w:val="0"/>
                                      <w:marRight w:val="0"/>
                                      <w:marTop w:val="0"/>
                                      <w:marBottom w:val="120"/>
                                      <w:divBdr>
                                        <w:top w:val="none" w:sz="0" w:space="0" w:color="auto"/>
                                        <w:left w:val="none" w:sz="0" w:space="0" w:color="auto"/>
                                        <w:bottom w:val="none" w:sz="0" w:space="0" w:color="auto"/>
                                        <w:right w:val="none" w:sz="0" w:space="0" w:color="auto"/>
                                      </w:divBdr>
                                      <w:divsChild>
                                        <w:div w:id="1902787168">
                                          <w:marLeft w:val="0"/>
                                          <w:marRight w:val="0"/>
                                          <w:marTop w:val="120"/>
                                          <w:marBottom w:val="120"/>
                                          <w:divBdr>
                                            <w:top w:val="none" w:sz="0" w:space="0" w:color="auto"/>
                                            <w:left w:val="none" w:sz="0" w:space="0" w:color="auto"/>
                                            <w:bottom w:val="none" w:sz="0" w:space="0" w:color="auto"/>
                                            <w:right w:val="none" w:sz="0" w:space="0" w:color="auto"/>
                                          </w:divBdr>
                                          <w:divsChild>
                                            <w:div w:id="15543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There exists the need for a strategic approach for Software Licensing Management at Queen’s University to ensure the appropriate tools required for teaching, learning and research are available to the academy in the most cost effective manner.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B7BF45-D287-4AA0-B18D-7177CCF0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Software Licensing Report</vt:lpstr>
    </vt:vector>
  </TitlesOfParts>
  <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Licensing Report</dc:title>
  <dc:subject>Findings and recommendations from the CIO’s Software Licensing Task Group</dc:subject>
  <dc:creator>Keith McWhirter</dc:creator>
  <cp:lastModifiedBy>Keith McWhirter</cp:lastModifiedBy>
  <cp:revision>6</cp:revision>
  <cp:lastPrinted>2016-06-15T13:02:00Z</cp:lastPrinted>
  <dcterms:created xsi:type="dcterms:W3CDTF">2016-12-12T13:24:00Z</dcterms:created>
  <dcterms:modified xsi:type="dcterms:W3CDTF">2016-12-13T14:07:00Z</dcterms:modified>
</cp:coreProperties>
</file>