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73272" w14:textId="77777777" w:rsidR="00D26A6F" w:rsidRPr="00047D5F" w:rsidRDefault="00015F65" w:rsidP="00015F65">
      <w:pPr>
        <w:jc w:val="center"/>
      </w:pPr>
      <w:r w:rsidRPr="00047D5F">
        <w:t>INTELLECTUAL PROPERTY AGREEMENT</w:t>
      </w:r>
    </w:p>
    <w:p w14:paraId="6DB8A669" w14:textId="6087FD22" w:rsidR="00015F65" w:rsidRPr="00047D5F" w:rsidRDefault="00015F65" w:rsidP="00414879">
      <w:pPr>
        <w:spacing w:after="0" w:line="240" w:lineRule="auto"/>
      </w:pPr>
      <w:r w:rsidRPr="00047D5F">
        <w:t>Effective Date: [</w:t>
      </w:r>
      <w:r w:rsidRPr="002F2420">
        <w:t>Month Y</w:t>
      </w:r>
      <w:r w:rsidR="00260684" w:rsidRPr="002F2420">
        <w:t>Y</w:t>
      </w:r>
      <w:r w:rsidRPr="002F2420">
        <w:t xml:space="preserve">, </w:t>
      </w:r>
      <w:r w:rsidR="003240B2">
        <w:t>Year</w:t>
      </w:r>
      <w:r w:rsidRPr="00047D5F">
        <w:t>]</w:t>
      </w:r>
    </w:p>
    <w:p w14:paraId="5FD4EAA7" w14:textId="77777777" w:rsidR="00414879" w:rsidRPr="00047D5F" w:rsidRDefault="00414879" w:rsidP="00414879">
      <w:pPr>
        <w:spacing w:after="0" w:line="240" w:lineRule="auto"/>
      </w:pPr>
    </w:p>
    <w:p w14:paraId="063AE0B6" w14:textId="77777777" w:rsidR="00015F65" w:rsidRPr="00047D5F" w:rsidRDefault="00015F65" w:rsidP="00414879">
      <w:pPr>
        <w:spacing w:after="0" w:line="240" w:lineRule="auto"/>
      </w:pPr>
      <w:r w:rsidRPr="00047D5F">
        <w:t>Between:</w:t>
      </w:r>
    </w:p>
    <w:p w14:paraId="1BCB6A01" w14:textId="77777777" w:rsidR="00414879" w:rsidRPr="00047D5F" w:rsidRDefault="00414879" w:rsidP="00414879">
      <w:pPr>
        <w:spacing w:after="0" w:line="240" w:lineRule="auto"/>
      </w:pPr>
    </w:p>
    <w:p w14:paraId="65AE7191" w14:textId="77777777" w:rsidR="00414879" w:rsidRPr="00047D5F" w:rsidRDefault="00414879" w:rsidP="00414879">
      <w:pPr>
        <w:spacing w:after="0" w:line="240" w:lineRule="auto"/>
        <w:jc w:val="center"/>
      </w:pPr>
      <w:r w:rsidRPr="00047D5F">
        <w:t>QUEEN’</w:t>
      </w:r>
      <w:r w:rsidR="00D14DBE" w:rsidRPr="00047D5F">
        <w:t>S</w:t>
      </w:r>
      <w:r w:rsidRPr="00047D5F">
        <w:t xml:space="preserve"> UNIVERSITY </w:t>
      </w:r>
      <w:r w:rsidR="00D14DBE" w:rsidRPr="00047D5F">
        <w:t>AT KINGSTON</w:t>
      </w:r>
    </w:p>
    <w:p w14:paraId="09B557FA" w14:textId="77777777" w:rsidR="00015F65" w:rsidRDefault="00414879" w:rsidP="00414879">
      <w:pPr>
        <w:spacing w:after="0" w:line="240" w:lineRule="auto"/>
        <w:jc w:val="center"/>
      </w:pPr>
      <w:r w:rsidRPr="00047D5F">
        <w:t>(hereinafter “Queen’s</w:t>
      </w:r>
      <w:r w:rsidR="00E83844" w:rsidRPr="00047D5F">
        <w:t>”</w:t>
      </w:r>
      <w:r w:rsidRPr="00047D5F">
        <w:t>).</w:t>
      </w:r>
    </w:p>
    <w:p w14:paraId="0CFCD9AE" w14:textId="77777777" w:rsidR="002068C3" w:rsidRDefault="002068C3" w:rsidP="00414879">
      <w:pPr>
        <w:spacing w:after="0" w:line="240" w:lineRule="auto"/>
        <w:jc w:val="center"/>
      </w:pPr>
    </w:p>
    <w:p w14:paraId="5B37A31A" w14:textId="77777777" w:rsidR="002068C3" w:rsidRDefault="002068C3" w:rsidP="00394E71">
      <w:pPr>
        <w:spacing w:after="0" w:line="240" w:lineRule="auto"/>
        <w:rPr>
          <w:b/>
        </w:rPr>
      </w:pPr>
      <w:r>
        <w:rPr>
          <w:b/>
        </w:rPr>
        <w:t>Contact for Notices:</w:t>
      </w:r>
    </w:p>
    <w:p w14:paraId="37AFC1DC" w14:textId="1063DDD6" w:rsidR="003240B2" w:rsidRDefault="00DE09BC" w:rsidP="006E5BDC">
      <w:pPr>
        <w:tabs>
          <w:tab w:val="left" w:pos="1260"/>
          <w:tab w:val="left" w:pos="4320"/>
        </w:tabs>
        <w:spacing w:after="0"/>
        <w:ind w:left="1282" w:hanging="1282"/>
      </w:pPr>
      <w:r w:rsidRPr="0033089D">
        <w:t>Address:</w:t>
      </w:r>
      <w:r w:rsidRPr="0033089D">
        <w:tab/>
      </w:r>
      <w:r w:rsidR="00786D36">
        <w:t xml:space="preserve">Partnerships and Innovation, </w:t>
      </w:r>
      <w:r>
        <w:t>99 University Avenue, Kingston, Ontario K7L 3N6</w:t>
      </w:r>
      <w:r w:rsidR="00786D36">
        <w:t>,</w:t>
      </w:r>
    </w:p>
    <w:p w14:paraId="664BD4FE" w14:textId="1A595554" w:rsidR="00DE09BC" w:rsidRPr="0033089D" w:rsidRDefault="003240B2" w:rsidP="006E3CFB">
      <w:pPr>
        <w:tabs>
          <w:tab w:val="left" w:pos="1260"/>
          <w:tab w:val="left" w:pos="4320"/>
        </w:tabs>
        <w:ind w:left="1276" w:hanging="1276"/>
      </w:pPr>
      <w:r>
        <w:tab/>
      </w:r>
      <w:r w:rsidR="00786D36">
        <w:t xml:space="preserve">Attention: </w:t>
      </w:r>
      <w:r>
        <w:t>Assistant Vice-Principal, Partnerships and Innovation</w:t>
      </w:r>
    </w:p>
    <w:p w14:paraId="099DC38F" w14:textId="192DAB4B" w:rsidR="00DE09BC" w:rsidRPr="0033089D" w:rsidRDefault="00DE09BC" w:rsidP="00DE09BC">
      <w:pPr>
        <w:tabs>
          <w:tab w:val="left" w:pos="1260"/>
          <w:tab w:val="left" w:pos="4320"/>
          <w:tab w:val="left" w:pos="5040"/>
          <w:tab w:val="left" w:pos="5760"/>
        </w:tabs>
      </w:pPr>
      <w:r w:rsidRPr="0033089D">
        <w:t>Email:</w:t>
      </w:r>
      <w:r w:rsidRPr="0033089D">
        <w:tab/>
      </w:r>
      <w:r w:rsidR="006E5BDC">
        <w:t>opi.info</w:t>
      </w:r>
      <w:bookmarkStart w:id="0" w:name="_GoBack"/>
      <w:bookmarkEnd w:id="0"/>
      <w:r w:rsidRPr="0033089D">
        <w:t>@queensu.ca</w:t>
      </w:r>
    </w:p>
    <w:p w14:paraId="07FC7945" w14:textId="77777777" w:rsidR="00414879" w:rsidRPr="00047D5F" w:rsidRDefault="00414879" w:rsidP="00414879">
      <w:pPr>
        <w:spacing w:after="0" w:line="240" w:lineRule="auto"/>
      </w:pPr>
    </w:p>
    <w:p w14:paraId="7BC4EF6E" w14:textId="77777777" w:rsidR="00414879" w:rsidRPr="00047D5F" w:rsidRDefault="00414879" w:rsidP="00047D5F">
      <w:pPr>
        <w:spacing w:after="0" w:line="240" w:lineRule="auto"/>
        <w:jc w:val="center"/>
      </w:pPr>
      <w:r w:rsidRPr="00047D5F">
        <w:t>And</w:t>
      </w:r>
    </w:p>
    <w:p w14:paraId="4D2244F9" w14:textId="77777777" w:rsidR="00414879" w:rsidRDefault="00414879" w:rsidP="00414879">
      <w:pPr>
        <w:spacing w:after="0" w:line="240" w:lineRule="auto"/>
      </w:pPr>
    </w:p>
    <w:tbl>
      <w:tblPr>
        <w:tblStyle w:val="TableGrid"/>
        <w:tblW w:w="0" w:type="auto"/>
        <w:tblLook w:val="04A0" w:firstRow="1" w:lastRow="0" w:firstColumn="1" w:lastColumn="0" w:noHBand="0" w:noVBand="1"/>
      </w:tblPr>
      <w:tblGrid>
        <w:gridCol w:w="1761"/>
        <w:gridCol w:w="3581"/>
        <w:gridCol w:w="1869"/>
        <w:gridCol w:w="2139"/>
      </w:tblGrid>
      <w:tr w:rsidR="00DE09BC" w14:paraId="647F6D79" w14:textId="77777777" w:rsidTr="00E414F0">
        <w:tc>
          <w:tcPr>
            <w:tcW w:w="1761" w:type="dxa"/>
            <w:shd w:val="clear" w:color="auto" w:fill="F2F2F2" w:themeFill="background1" w:themeFillShade="F2"/>
          </w:tcPr>
          <w:p w14:paraId="011B62FC" w14:textId="77777777" w:rsidR="00DE09BC" w:rsidRDefault="00DE09BC" w:rsidP="00414879">
            <w:r>
              <w:t>Creator</w:t>
            </w:r>
          </w:p>
        </w:tc>
        <w:tc>
          <w:tcPr>
            <w:tcW w:w="3581" w:type="dxa"/>
            <w:shd w:val="clear" w:color="auto" w:fill="F2F2F2" w:themeFill="background1" w:themeFillShade="F2"/>
          </w:tcPr>
          <w:p w14:paraId="12B11140" w14:textId="77777777" w:rsidR="00DE09BC" w:rsidRDefault="00DE09BC" w:rsidP="00414879">
            <w:r>
              <w:t>Creator Home Address for Notice</w:t>
            </w:r>
          </w:p>
        </w:tc>
        <w:tc>
          <w:tcPr>
            <w:tcW w:w="1869" w:type="dxa"/>
            <w:shd w:val="clear" w:color="auto" w:fill="F2F2F2" w:themeFill="background1" w:themeFillShade="F2"/>
          </w:tcPr>
          <w:p w14:paraId="2DEF8477" w14:textId="77777777" w:rsidR="00DE09BC" w:rsidRDefault="00DE09BC" w:rsidP="00414879">
            <w:r>
              <w:t>Email Address</w:t>
            </w:r>
          </w:p>
        </w:tc>
        <w:tc>
          <w:tcPr>
            <w:tcW w:w="2139" w:type="dxa"/>
            <w:shd w:val="clear" w:color="auto" w:fill="F2F2F2" w:themeFill="background1" w:themeFillShade="F2"/>
          </w:tcPr>
          <w:p w14:paraId="58B9A1C2" w14:textId="77777777" w:rsidR="00DE09BC" w:rsidRDefault="00DE09BC" w:rsidP="00414879">
            <w:r>
              <w:t>Host Institution</w:t>
            </w:r>
          </w:p>
        </w:tc>
      </w:tr>
      <w:tr w:rsidR="00DE09BC" w14:paraId="5431DDFC" w14:textId="77777777" w:rsidTr="00E414F0">
        <w:tc>
          <w:tcPr>
            <w:tcW w:w="1761" w:type="dxa"/>
          </w:tcPr>
          <w:p w14:paraId="0797A2F6" w14:textId="77777777" w:rsidR="00DE09BC" w:rsidRDefault="00DE09BC" w:rsidP="00414879"/>
        </w:tc>
        <w:tc>
          <w:tcPr>
            <w:tcW w:w="3581" w:type="dxa"/>
          </w:tcPr>
          <w:p w14:paraId="5F536F56" w14:textId="77777777" w:rsidR="00DE09BC" w:rsidRDefault="00DE09BC" w:rsidP="00414879"/>
        </w:tc>
        <w:tc>
          <w:tcPr>
            <w:tcW w:w="1869" w:type="dxa"/>
          </w:tcPr>
          <w:p w14:paraId="1EE32A62" w14:textId="77777777" w:rsidR="00DE09BC" w:rsidRDefault="00DE09BC" w:rsidP="00414879"/>
        </w:tc>
        <w:tc>
          <w:tcPr>
            <w:tcW w:w="2139" w:type="dxa"/>
          </w:tcPr>
          <w:p w14:paraId="0BDDB9E9" w14:textId="77777777" w:rsidR="00DE09BC" w:rsidRDefault="00DE09BC" w:rsidP="00414879"/>
        </w:tc>
      </w:tr>
      <w:tr w:rsidR="00DE09BC" w14:paraId="46851223" w14:textId="77777777" w:rsidTr="00E414F0">
        <w:tc>
          <w:tcPr>
            <w:tcW w:w="1761" w:type="dxa"/>
          </w:tcPr>
          <w:p w14:paraId="181DEB2F" w14:textId="77777777" w:rsidR="00DE09BC" w:rsidRDefault="00DE09BC" w:rsidP="00414879"/>
        </w:tc>
        <w:tc>
          <w:tcPr>
            <w:tcW w:w="3581" w:type="dxa"/>
          </w:tcPr>
          <w:p w14:paraId="4ED42D5C" w14:textId="77777777" w:rsidR="00DE09BC" w:rsidRDefault="00DE09BC" w:rsidP="00414879"/>
        </w:tc>
        <w:tc>
          <w:tcPr>
            <w:tcW w:w="1869" w:type="dxa"/>
          </w:tcPr>
          <w:p w14:paraId="3CDD009B" w14:textId="77777777" w:rsidR="00DE09BC" w:rsidRDefault="00DE09BC" w:rsidP="00414879"/>
        </w:tc>
        <w:tc>
          <w:tcPr>
            <w:tcW w:w="2139" w:type="dxa"/>
          </w:tcPr>
          <w:p w14:paraId="056D2084" w14:textId="77777777" w:rsidR="00DE09BC" w:rsidRDefault="00DE09BC" w:rsidP="00414879"/>
        </w:tc>
      </w:tr>
      <w:tr w:rsidR="00DE09BC" w14:paraId="563D2355" w14:textId="77777777" w:rsidTr="00E414F0">
        <w:tc>
          <w:tcPr>
            <w:tcW w:w="1761" w:type="dxa"/>
          </w:tcPr>
          <w:p w14:paraId="7A15ACAA" w14:textId="77777777" w:rsidR="00DE09BC" w:rsidRDefault="00DE09BC" w:rsidP="00414879"/>
        </w:tc>
        <w:tc>
          <w:tcPr>
            <w:tcW w:w="3581" w:type="dxa"/>
          </w:tcPr>
          <w:p w14:paraId="2C8E01CD" w14:textId="77777777" w:rsidR="00DE09BC" w:rsidRDefault="00DE09BC" w:rsidP="00414879"/>
        </w:tc>
        <w:tc>
          <w:tcPr>
            <w:tcW w:w="1869" w:type="dxa"/>
          </w:tcPr>
          <w:p w14:paraId="5EE7DBAE" w14:textId="77777777" w:rsidR="00DE09BC" w:rsidRDefault="00DE09BC" w:rsidP="00414879"/>
        </w:tc>
        <w:tc>
          <w:tcPr>
            <w:tcW w:w="2139" w:type="dxa"/>
          </w:tcPr>
          <w:p w14:paraId="7FE3839D" w14:textId="77777777" w:rsidR="00DE09BC" w:rsidRDefault="00DE09BC" w:rsidP="00414879"/>
        </w:tc>
      </w:tr>
      <w:tr w:rsidR="00DE09BC" w14:paraId="65D8D4C7" w14:textId="77777777" w:rsidTr="00E414F0">
        <w:tc>
          <w:tcPr>
            <w:tcW w:w="1761" w:type="dxa"/>
          </w:tcPr>
          <w:p w14:paraId="0281531E" w14:textId="77777777" w:rsidR="00DE09BC" w:rsidRDefault="00DE09BC" w:rsidP="00414879"/>
        </w:tc>
        <w:tc>
          <w:tcPr>
            <w:tcW w:w="3581" w:type="dxa"/>
          </w:tcPr>
          <w:p w14:paraId="365E5434" w14:textId="77777777" w:rsidR="00DE09BC" w:rsidRDefault="00DE09BC" w:rsidP="00414879"/>
        </w:tc>
        <w:tc>
          <w:tcPr>
            <w:tcW w:w="1869" w:type="dxa"/>
          </w:tcPr>
          <w:p w14:paraId="5BD13279" w14:textId="77777777" w:rsidR="00DE09BC" w:rsidRDefault="00DE09BC" w:rsidP="00414879"/>
        </w:tc>
        <w:tc>
          <w:tcPr>
            <w:tcW w:w="2139" w:type="dxa"/>
          </w:tcPr>
          <w:p w14:paraId="038A25CD" w14:textId="77777777" w:rsidR="00DE09BC" w:rsidRDefault="00DE09BC" w:rsidP="00414879"/>
        </w:tc>
      </w:tr>
    </w:tbl>
    <w:p w14:paraId="4A67D60C" w14:textId="77777777" w:rsidR="00810119" w:rsidRDefault="00810119" w:rsidP="00414879">
      <w:pPr>
        <w:spacing w:after="0" w:line="240" w:lineRule="auto"/>
      </w:pPr>
    </w:p>
    <w:p w14:paraId="0C8B5897" w14:textId="77777777" w:rsidR="00810119" w:rsidRPr="00047D5F" w:rsidRDefault="00810119" w:rsidP="00414879">
      <w:pPr>
        <w:spacing w:after="0" w:line="240" w:lineRule="auto"/>
      </w:pPr>
    </w:p>
    <w:p w14:paraId="58D23E3E" w14:textId="77777777" w:rsidR="00414879" w:rsidRPr="00047D5F" w:rsidRDefault="00810119" w:rsidP="00414879">
      <w:pPr>
        <w:spacing w:after="0" w:line="240" w:lineRule="auto"/>
        <w:jc w:val="center"/>
      </w:pPr>
      <w:r w:rsidRPr="00810119" w:rsidDel="00810119">
        <w:t xml:space="preserve"> </w:t>
      </w:r>
      <w:r w:rsidR="00414879" w:rsidRPr="00047D5F">
        <w:t xml:space="preserve">(hereinafter </w:t>
      </w:r>
      <w:r w:rsidR="00086129" w:rsidRPr="00047D5F">
        <w:t xml:space="preserve">each a “Creator”, collectively the </w:t>
      </w:r>
      <w:r w:rsidR="00414879" w:rsidRPr="00047D5F">
        <w:t>“Creators”).</w:t>
      </w:r>
    </w:p>
    <w:p w14:paraId="7602792A" w14:textId="77777777" w:rsidR="00414879" w:rsidRPr="00047D5F" w:rsidRDefault="00414879" w:rsidP="00414879">
      <w:pPr>
        <w:spacing w:after="0" w:line="240" w:lineRule="auto"/>
        <w:jc w:val="center"/>
      </w:pPr>
    </w:p>
    <w:p w14:paraId="0FBCA9B9" w14:textId="51D6ADEB" w:rsidR="00414879" w:rsidRDefault="00214BF8" w:rsidP="00414879">
      <w:pPr>
        <w:spacing w:after="0" w:line="240" w:lineRule="auto"/>
      </w:pPr>
      <w:r>
        <w:t>Preamble:</w:t>
      </w:r>
    </w:p>
    <w:p w14:paraId="53C7E949" w14:textId="77777777" w:rsidR="00214BF8" w:rsidRPr="00047D5F" w:rsidRDefault="00214BF8" w:rsidP="00414879">
      <w:pPr>
        <w:spacing w:after="0" w:line="240" w:lineRule="auto"/>
      </w:pPr>
    </w:p>
    <w:p w14:paraId="374D6F82" w14:textId="33DAF4ED" w:rsidR="00414879" w:rsidRPr="00047D5F" w:rsidRDefault="00414879" w:rsidP="00414879">
      <w:pPr>
        <w:spacing w:after="0" w:line="240" w:lineRule="auto"/>
      </w:pPr>
      <w:r w:rsidRPr="00047D5F">
        <w:t>Queen’s provides technology transfer services to support the intellectual property protection and commercialization of new discoveries/technologies</w:t>
      </w:r>
      <w:r w:rsidR="00214BF8">
        <w:t>.</w:t>
      </w:r>
    </w:p>
    <w:p w14:paraId="091CE8CE" w14:textId="5D30013D" w:rsidR="00414879" w:rsidRPr="00047D5F" w:rsidRDefault="00414879" w:rsidP="00414879">
      <w:pPr>
        <w:spacing w:after="0" w:line="240" w:lineRule="auto"/>
      </w:pPr>
    </w:p>
    <w:p w14:paraId="1DD3288B" w14:textId="08224066" w:rsidR="00086129" w:rsidRPr="00047D5F" w:rsidRDefault="00214BF8" w:rsidP="00414879">
      <w:pPr>
        <w:spacing w:after="0" w:line="240" w:lineRule="auto"/>
      </w:pPr>
      <w:r>
        <w:t>T</w:t>
      </w:r>
      <w:r w:rsidR="00086129" w:rsidRPr="00047D5F">
        <w:t>he Creator</w:t>
      </w:r>
      <w:r w:rsidR="002068C3">
        <w:t>s have</w:t>
      </w:r>
      <w:r w:rsidR="00086129" w:rsidRPr="00047D5F">
        <w:t xml:space="preserve"> created the Intellectual Property (as defined herein) described in Schedule A and wish to have such Intellectual Property commercialized by Queen’s</w:t>
      </w:r>
      <w:r w:rsidR="003966ED">
        <w:t>.</w:t>
      </w:r>
    </w:p>
    <w:p w14:paraId="3AB7ED8D" w14:textId="15AC6079" w:rsidR="00086129" w:rsidRDefault="00086129" w:rsidP="00414879">
      <w:pPr>
        <w:spacing w:after="0" w:line="240" w:lineRule="auto"/>
      </w:pPr>
    </w:p>
    <w:p w14:paraId="3D20FD95" w14:textId="77777777" w:rsidR="00086129" w:rsidRPr="00047D5F" w:rsidRDefault="00086129" w:rsidP="00414879">
      <w:pPr>
        <w:spacing w:after="0" w:line="240" w:lineRule="auto"/>
      </w:pPr>
      <w:r w:rsidRPr="00047D5F">
        <w:t>THE PARTIES THEREFORE AGREE as follows:</w:t>
      </w:r>
    </w:p>
    <w:p w14:paraId="35AD2248" w14:textId="77777777" w:rsidR="00086129" w:rsidRPr="00047D5F" w:rsidRDefault="00086129" w:rsidP="00414879">
      <w:pPr>
        <w:spacing w:after="0" w:line="240" w:lineRule="auto"/>
      </w:pPr>
    </w:p>
    <w:p w14:paraId="4E09063D" w14:textId="77777777" w:rsidR="009E54E1" w:rsidRPr="006E3CFB" w:rsidRDefault="00086129" w:rsidP="00A76939">
      <w:pPr>
        <w:pStyle w:val="ListParagraph"/>
        <w:numPr>
          <w:ilvl w:val="0"/>
          <w:numId w:val="17"/>
        </w:numPr>
        <w:spacing w:after="240" w:line="240" w:lineRule="auto"/>
        <w:contextualSpacing w:val="0"/>
        <w:rPr>
          <w:b/>
        </w:rPr>
      </w:pPr>
      <w:r w:rsidRPr="006E3CFB">
        <w:rPr>
          <w:b/>
        </w:rPr>
        <w:t>Definitions</w:t>
      </w:r>
    </w:p>
    <w:p w14:paraId="4B412315" w14:textId="77777777" w:rsidR="00BC5A57" w:rsidRPr="00047D5F" w:rsidRDefault="00BC5A57" w:rsidP="00BC5A57">
      <w:pPr>
        <w:pStyle w:val="ListParagraph"/>
        <w:numPr>
          <w:ilvl w:val="1"/>
          <w:numId w:val="17"/>
        </w:numPr>
        <w:spacing w:after="240" w:line="240" w:lineRule="auto"/>
        <w:contextualSpacing w:val="0"/>
      </w:pPr>
      <w:r w:rsidRPr="00047D5F">
        <w:t>“Agreement” means the preamble section, the terms and conditions and all schedules attached thereto.</w:t>
      </w:r>
    </w:p>
    <w:p w14:paraId="1CEBBD10" w14:textId="77777777" w:rsidR="008538A5" w:rsidRPr="00047D5F" w:rsidRDefault="00086129" w:rsidP="008538A5">
      <w:pPr>
        <w:pStyle w:val="ListParagraph"/>
        <w:numPr>
          <w:ilvl w:val="1"/>
          <w:numId w:val="17"/>
        </w:numPr>
        <w:spacing w:after="240" w:line="240" w:lineRule="auto"/>
        <w:contextualSpacing w:val="0"/>
      </w:pPr>
      <w:r w:rsidRPr="00047D5F">
        <w:t>“Contributor” means any person, institution, or entity which has or may have made a material contribution to the Intellectual Property.</w:t>
      </w:r>
      <w:r w:rsidR="008538A5" w:rsidRPr="00047D5F">
        <w:t xml:space="preserve"> </w:t>
      </w:r>
    </w:p>
    <w:p w14:paraId="1AC0DFE3" w14:textId="77777777" w:rsidR="008538A5" w:rsidRPr="00047D5F" w:rsidRDefault="008538A5" w:rsidP="008538A5">
      <w:pPr>
        <w:pStyle w:val="ListParagraph"/>
        <w:numPr>
          <w:ilvl w:val="1"/>
          <w:numId w:val="17"/>
        </w:numPr>
        <w:spacing w:after="240" w:line="240" w:lineRule="auto"/>
        <w:contextualSpacing w:val="0"/>
      </w:pPr>
      <w:r w:rsidRPr="00047D5F">
        <w:t>“Gross Revenue” means revenues, in cash, actually received by Queen’s in consideration of any license, or sale of any of the Intellectual Property.</w:t>
      </w:r>
    </w:p>
    <w:p w14:paraId="7459CF78" w14:textId="0ABDD6E5" w:rsidR="00905AE5" w:rsidRPr="00047D5F" w:rsidRDefault="00905AE5" w:rsidP="008538A5">
      <w:pPr>
        <w:pStyle w:val="ListParagraph"/>
        <w:numPr>
          <w:ilvl w:val="1"/>
          <w:numId w:val="17"/>
        </w:numPr>
        <w:spacing w:after="240" w:line="240" w:lineRule="auto"/>
        <w:contextualSpacing w:val="0"/>
      </w:pPr>
      <w:r w:rsidRPr="00047D5F">
        <w:lastRenderedPageBreak/>
        <w:t>“Host Institution</w:t>
      </w:r>
      <w:r w:rsidR="00316394" w:rsidRPr="00047D5F">
        <w:t>(s</w:t>
      </w:r>
      <w:r w:rsidR="00316394" w:rsidRPr="000D31CB">
        <w:t>)</w:t>
      </w:r>
      <w:r w:rsidRPr="000D31CB">
        <w:t xml:space="preserve">” </w:t>
      </w:r>
      <w:r w:rsidR="00316394" w:rsidRPr="006F5C4C">
        <w:t xml:space="preserve">means one or more of Queen’s and </w:t>
      </w:r>
      <w:r w:rsidRPr="006F5C4C">
        <w:t>Kingston Health Science</w:t>
      </w:r>
      <w:r w:rsidR="002068C3" w:rsidRPr="006F5C4C">
        <w:t>s</w:t>
      </w:r>
      <w:r w:rsidR="00C048BB" w:rsidRPr="006F5C4C">
        <w:t xml:space="preserve"> Centre, </w:t>
      </w:r>
      <w:r w:rsidR="00BA5F11" w:rsidRPr="006F5C4C">
        <w:t xml:space="preserve">as determined by </w:t>
      </w:r>
      <w:r w:rsidR="00316394" w:rsidRPr="006F5C4C">
        <w:t xml:space="preserve">where a Creator was employed by </w:t>
      </w:r>
      <w:r w:rsidR="00BA5F11" w:rsidRPr="006F5C4C">
        <w:t>and/</w:t>
      </w:r>
      <w:r w:rsidR="00316394" w:rsidRPr="006F5C4C">
        <w:t>or used resources in the creation of the Intellectual Property</w:t>
      </w:r>
      <w:r w:rsidR="00C4180C">
        <w:t>.</w:t>
      </w:r>
    </w:p>
    <w:p w14:paraId="34791DCA" w14:textId="2B71F592" w:rsidR="008538A5" w:rsidRPr="00047D5F" w:rsidRDefault="008538A5" w:rsidP="008538A5">
      <w:pPr>
        <w:pStyle w:val="ListParagraph"/>
        <w:numPr>
          <w:ilvl w:val="1"/>
          <w:numId w:val="17"/>
        </w:numPr>
        <w:spacing w:after="240" w:line="240" w:lineRule="auto"/>
        <w:contextualSpacing w:val="0"/>
      </w:pPr>
      <w:r w:rsidRPr="00047D5F">
        <w:t>“Identifiable Costs” means patenting and commercialization expenses incurred by Queen’s relative to the Intellectual Property.  Identifiable Costs shall not include salaries or other remuneration paid to Queen’s technology transfer employees with the exception of Queen’s salaried patent agents</w:t>
      </w:r>
      <w:r w:rsidR="006F5C4C">
        <w:t xml:space="preserve"> at cost plus overhead.</w:t>
      </w:r>
    </w:p>
    <w:p w14:paraId="25789724" w14:textId="22DD85F2" w:rsidR="009E54E1" w:rsidRPr="00047D5F" w:rsidRDefault="00166092" w:rsidP="00A76939">
      <w:pPr>
        <w:pStyle w:val="ListParagraph"/>
        <w:numPr>
          <w:ilvl w:val="1"/>
          <w:numId w:val="17"/>
        </w:numPr>
        <w:spacing w:after="120" w:line="240" w:lineRule="auto"/>
        <w:contextualSpacing w:val="0"/>
      </w:pPr>
      <w:r w:rsidRPr="00047D5F">
        <w:t xml:space="preserve">“Intellectual </w:t>
      </w:r>
      <w:r w:rsidR="00265A88" w:rsidRPr="00047D5F">
        <w:t xml:space="preserve">Property” means </w:t>
      </w:r>
      <w:r w:rsidR="003966ED">
        <w:t xml:space="preserve">one or more </w:t>
      </w:r>
      <w:r w:rsidR="00265A88" w:rsidRPr="00047D5F">
        <w:t>of</w:t>
      </w:r>
      <w:r w:rsidR="00214BF8">
        <w:t xml:space="preserve"> the following</w:t>
      </w:r>
      <w:r w:rsidR="00265A88" w:rsidRPr="00047D5F">
        <w:t>, which are  related to and/or by necessary inference are included in</w:t>
      </w:r>
      <w:r w:rsidR="001F01E6">
        <w:t>,</w:t>
      </w:r>
      <w:r w:rsidR="00265A88" w:rsidRPr="00047D5F">
        <w:t xml:space="preserve"> the disclosure contained </w:t>
      </w:r>
      <w:r w:rsidR="00214BF8">
        <w:t>in Schedule A</w:t>
      </w:r>
      <w:r w:rsidRPr="00047D5F">
        <w:t>:</w:t>
      </w:r>
    </w:p>
    <w:p w14:paraId="1E4B01DE" w14:textId="27685A60" w:rsidR="00166092" w:rsidRPr="00047D5F" w:rsidRDefault="00166092" w:rsidP="00A76939">
      <w:pPr>
        <w:pStyle w:val="ListParagraph"/>
        <w:numPr>
          <w:ilvl w:val="2"/>
          <w:numId w:val="18"/>
        </w:numPr>
        <w:spacing w:after="120" w:line="240" w:lineRule="auto"/>
        <w:contextualSpacing w:val="0"/>
      </w:pPr>
      <w:r w:rsidRPr="00047D5F">
        <w:t>Inventions: any new and useful art, process, method, machine, manufacture or composition of matter;</w:t>
      </w:r>
    </w:p>
    <w:p w14:paraId="3E93678F" w14:textId="77777777" w:rsidR="00166092" w:rsidRPr="00047D5F" w:rsidRDefault="00166092" w:rsidP="00A76939">
      <w:pPr>
        <w:pStyle w:val="ListParagraph"/>
        <w:numPr>
          <w:ilvl w:val="2"/>
          <w:numId w:val="18"/>
        </w:numPr>
        <w:spacing w:after="120" w:line="240" w:lineRule="auto"/>
        <w:contextualSpacing w:val="0"/>
      </w:pPr>
      <w:r w:rsidRPr="00047D5F">
        <w:t>Copyright</w:t>
      </w:r>
      <w:r w:rsidR="00265A88" w:rsidRPr="00047D5F">
        <w:t>s</w:t>
      </w:r>
      <w:r w:rsidRPr="00047D5F">
        <w:t xml:space="preserve">:  </w:t>
      </w:r>
      <w:r w:rsidR="008538A5" w:rsidRPr="00047D5F">
        <w:t>has the meaning prescribed by the Copyright Act (R.S.C. 1985, c. C-42), as amended, or any successor legislation thereto</w:t>
      </w:r>
      <w:r w:rsidRPr="00047D5F">
        <w:t>;</w:t>
      </w:r>
    </w:p>
    <w:p w14:paraId="37F89E7C" w14:textId="1CC67D27" w:rsidR="00166092" w:rsidRPr="00047D5F" w:rsidRDefault="00166092" w:rsidP="00A76939">
      <w:pPr>
        <w:pStyle w:val="ListParagraph"/>
        <w:numPr>
          <w:ilvl w:val="2"/>
          <w:numId w:val="18"/>
        </w:numPr>
        <w:spacing w:after="120" w:line="240" w:lineRule="auto"/>
        <w:contextualSpacing w:val="0"/>
      </w:pPr>
      <w:r w:rsidRPr="00047D5F">
        <w:t xml:space="preserve">Industrial </w:t>
      </w:r>
      <w:r w:rsidR="003966ED">
        <w:t>d</w:t>
      </w:r>
      <w:r w:rsidRPr="00047D5F">
        <w:t>esign</w:t>
      </w:r>
      <w:r w:rsidR="00265A88" w:rsidRPr="00047D5F">
        <w:t>s</w:t>
      </w:r>
      <w:r w:rsidRPr="00047D5F">
        <w:t>: any design capable of registration under the Industrial Designs Act, which is capable of reproduction in more than 50 single copies;</w:t>
      </w:r>
    </w:p>
    <w:p w14:paraId="57E4C41A" w14:textId="05BBF639" w:rsidR="00166092" w:rsidRPr="00047D5F" w:rsidRDefault="00166092" w:rsidP="00A76939">
      <w:pPr>
        <w:pStyle w:val="ListParagraph"/>
        <w:numPr>
          <w:ilvl w:val="2"/>
          <w:numId w:val="18"/>
        </w:numPr>
        <w:spacing w:after="120" w:line="240" w:lineRule="auto"/>
        <w:contextualSpacing w:val="0"/>
      </w:pPr>
      <w:r w:rsidRPr="00047D5F">
        <w:t xml:space="preserve">Trade </w:t>
      </w:r>
      <w:r w:rsidR="003966ED">
        <w:t>s</w:t>
      </w:r>
      <w:r w:rsidRPr="00047D5F">
        <w:t xml:space="preserve">ecrets or </w:t>
      </w:r>
      <w:r w:rsidR="00602B31">
        <w:t>c</w:t>
      </w:r>
      <w:r w:rsidRPr="00047D5F">
        <w:t xml:space="preserve">onfidential </w:t>
      </w:r>
      <w:r w:rsidR="003966ED">
        <w:t>i</w:t>
      </w:r>
      <w:r w:rsidRPr="00047D5F">
        <w:t>nformation, for example, test results, protocols, reagents, undisclosed inventions or source code;</w:t>
      </w:r>
    </w:p>
    <w:p w14:paraId="7E43F71A" w14:textId="16E18CE6" w:rsidR="00166092" w:rsidRPr="00047D5F" w:rsidRDefault="00166092" w:rsidP="00A76939">
      <w:pPr>
        <w:pStyle w:val="ListParagraph"/>
        <w:numPr>
          <w:ilvl w:val="2"/>
          <w:numId w:val="18"/>
        </w:numPr>
        <w:spacing w:after="120" w:line="240" w:lineRule="auto"/>
        <w:contextualSpacing w:val="0"/>
      </w:pPr>
      <w:r w:rsidRPr="00047D5F">
        <w:t xml:space="preserve">Rights in </w:t>
      </w:r>
      <w:r w:rsidR="003966ED">
        <w:t>d</w:t>
      </w:r>
      <w:r w:rsidRPr="00047D5F">
        <w:t>ata, whether or not registered;</w:t>
      </w:r>
    </w:p>
    <w:p w14:paraId="106BA299" w14:textId="77777777" w:rsidR="00166092" w:rsidRPr="00047D5F" w:rsidRDefault="00166092" w:rsidP="00A76939">
      <w:pPr>
        <w:pStyle w:val="ListParagraph"/>
        <w:numPr>
          <w:ilvl w:val="2"/>
          <w:numId w:val="18"/>
        </w:numPr>
        <w:spacing w:after="120" w:line="240" w:lineRule="auto"/>
        <w:contextualSpacing w:val="0"/>
      </w:pPr>
      <w:r w:rsidRPr="00047D5F">
        <w:t>Other rights related to the Intellectual Property, for example, assignable rights arising from beta testing or clinical trials;</w:t>
      </w:r>
    </w:p>
    <w:p w14:paraId="0C498EB1" w14:textId="77777777" w:rsidR="009E54E1" w:rsidRPr="00047D5F" w:rsidRDefault="00166092" w:rsidP="00A76939">
      <w:pPr>
        <w:pStyle w:val="ListParagraph"/>
        <w:numPr>
          <w:ilvl w:val="2"/>
          <w:numId w:val="18"/>
        </w:numPr>
        <w:spacing w:after="120" w:line="240" w:lineRule="auto"/>
        <w:contextualSpacing w:val="0"/>
      </w:pPr>
      <w:r w:rsidRPr="00047D5F">
        <w:t>Rights in physical objects related to the Intellectual Property, for example, any digital media, databases or tissue samples;</w:t>
      </w:r>
    </w:p>
    <w:p w14:paraId="7CF3DE3C" w14:textId="6F3B7F14" w:rsidR="005354B6" w:rsidRDefault="00166092" w:rsidP="00A76939">
      <w:pPr>
        <w:pStyle w:val="ListParagraph"/>
        <w:numPr>
          <w:ilvl w:val="2"/>
          <w:numId w:val="18"/>
        </w:numPr>
        <w:spacing w:after="240" w:line="240" w:lineRule="auto"/>
        <w:contextualSpacing w:val="0"/>
      </w:pPr>
      <w:r w:rsidRPr="00047D5F">
        <w:t>Any other intellectu</w:t>
      </w:r>
      <w:r w:rsidR="009E54E1" w:rsidRPr="00047D5F">
        <w:t>al or industrial property right</w:t>
      </w:r>
      <w:r w:rsidR="005354B6">
        <w:t>;</w:t>
      </w:r>
    </w:p>
    <w:p w14:paraId="32A19E02" w14:textId="77777777" w:rsidR="00166092" w:rsidRPr="00047D5F" w:rsidRDefault="005354B6" w:rsidP="005354B6">
      <w:pPr>
        <w:pStyle w:val="ListParagraph"/>
        <w:numPr>
          <w:ilvl w:val="2"/>
          <w:numId w:val="18"/>
        </w:numPr>
        <w:spacing w:after="240" w:line="240" w:lineRule="auto"/>
        <w:contextualSpacing w:val="0"/>
      </w:pPr>
      <w:r>
        <w:t>A</w:t>
      </w:r>
      <w:r w:rsidRPr="005354B6">
        <w:t>ny improvement, idea, design, concept, technique, discover</w:t>
      </w:r>
      <w:r>
        <w:t>y or invention encumbered by any of the above</w:t>
      </w:r>
      <w:r w:rsidRPr="005354B6">
        <w:t xml:space="preserve">, whether or not patentable, copyrightable, or otherwise protectable as intellectual property, developed by the </w:t>
      </w:r>
      <w:r>
        <w:t>Creators</w:t>
      </w:r>
      <w:r w:rsidRPr="005354B6">
        <w:t xml:space="preserve"> during the </w:t>
      </w:r>
      <w:r>
        <w:t>Creator</w:t>
      </w:r>
      <w:r w:rsidRPr="005354B6">
        <w:t xml:space="preserve">’s </w:t>
      </w:r>
      <w:r>
        <w:t>employment by Host Institution</w:t>
      </w:r>
      <w:r w:rsidRPr="005354B6">
        <w:t>.</w:t>
      </w:r>
      <w:r w:rsidR="00166092" w:rsidRPr="00047D5F">
        <w:t xml:space="preserve"> </w:t>
      </w:r>
    </w:p>
    <w:p w14:paraId="7D377017" w14:textId="77777777" w:rsidR="009E54E1" w:rsidRPr="00047D5F" w:rsidRDefault="008538A5" w:rsidP="00A76939">
      <w:pPr>
        <w:pStyle w:val="ListParagraph"/>
        <w:numPr>
          <w:ilvl w:val="1"/>
          <w:numId w:val="17"/>
        </w:numPr>
        <w:spacing w:after="240" w:line="240" w:lineRule="auto"/>
        <w:contextualSpacing w:val="0"/>
      </w:pPr>
      <w:r w:rsidRPr="00047D5F" w:rsidDel="008538A5">
        <w:t xml:space="preserve"> </w:t>
      </w:r>
      <w:r w:rsidR="00D719EF" w:rsidRPr="00047D5F">
        <w:t xml:space="preserve">“Net Proceeds” means Gross Revenues less </w:t>
      </w:r>
      <w:r w:rsidR="0073480B" w:rsidRPr="00047D5F">
        <w:t>Identifiable Costs.</w:t>
      </w:r>
    </w:p>
    <w:p w14:paraId="52D4197E" w14:textId="2FE9B422" w:rsidR="001B7926" w:rsidRPr="00047D5F" w:rsidRDefault="008538A5" w:rsidP="00BD0E30">
      <w:pPr>
        <w:pStyle w:val="ListParagraph"/>
        <w:numPr>
          <w:ilvl w:val="1"/>
          <w:numId w:val="17"/>
        </w:numPr>
        <w:spacing w:after="240" w:line="240" w:lineRule="auto"/>
        <w:contextualSpacing w:val="0"/>
      </w:pPr>
      <w:r w:rsidRPr="00047D5F" w:rsidDel="008538A5">
        <w:t xml:space="preserve"> </w:t>
      </w:r>
      <w:r w:rsidR="00936FA4" w:rsidRPr="00047D5F">
        <w:t>“Invent</w:t>
      </w:r>
      <w:r w:rsidR="002E3528">
        <w:t>orship</w:t>
      </w:r>
      <w:r w:rsidR="00936FA4" w:rsidRPr="00047D5F">
        <w:t xml:space="preserve"> Investigation”</w:t>
      </w:r>
      <w:r w:rsidR="00AA5D35" w:rsidRPr="00047D5F">
        <w:t xml:space="preserve"> </w:t>
      </w:r>
      <w:r w:rsidR="006C341C" w:rsidRPr="00047D5F">
        <w:t xml:space="preserve">means </w:t>
      </w:r>
      <w:r w:rsidR="00AA5D35" w:rsidRPr="00047D5F">
        <w:t xml:space="preserve">an investigation with due diligence </w:t>
      </w:r>
      <w:r w:rsidR="0043266F" w:rsidRPr="00047D5F">
        <w:t xml:space="preserve">as to </w:t>
      </w:r>
      <w:r w:rsidR="00AA5D35" w:rsidRPr="00047D5F">
        <w:t>the extent of involvement of any and all Contributors whether or not they are identified on the invention disclosure form provided to Queen’s</w:t>
      </w:r>
      <w:r w:rsidR="009474CE" w:rsidRPr="00047D5F">
        <w:t xml:space="preserve"> related to the Intellectual Property</w:t>
      </w:r>
      <w:r w:rsidR="00C219E8" w:rsidRPr="00047D5F">
        <w:t>.</w:t>
      </w:r>
    </w:p>
    <w:p w14:paraId="2DE2C96C" w14:textId="77777777" w:rsidR="009E54E1" w:rsidRPr="006E3CFB" w:rsidRDefault="009E54E1" w:rsidP="00A76939">
      <w:pPr>
        <w:pStyle w:val="ListParagraph"/>
        <w:numPr>
          <w:ilvl w:val="0"/>
          <w:numId w:val="17"/>
        </w:numPr>
        <w:spacing w:after="240" w:line="240" w:lineRule="auto"/>
        <w:contextualSpacing w:val="0"/>
        <w:rPr>
          <w:b/>
        </w:rPr>
      </w:pPr>
      <w:r w:rsidRPr="006E3CFB">
        <w:rPr>
          <w:b/>
        </w:rPr>
        <w:t>Grant of rights</w:t>
      </w:r>
    </w:p>
    <w:p w14:paraId="2CA98BA4" w14:textId="77777777" w:rsidR="00AF5DBE" w:rsidRPr="00AF5DBE" w:rsidRDefault="00605127" w:rsidP="001B404A">
      <w:pPr>
        <w:pStyle w:val="ListParagraph"/>
        <w:numPr>
          <w:ilvl w:val="1"/>
          <w:numId w:val="17"/>
        </w:numPr>
        <w:spacing w:after="240" w:line="240" w:lineRule="auto"/>
        <w:contextualSpacing w:val="0"/>
      </w:pPr>
      <w:r>
        <w:t>I</w:t>
      </w:r>
      <w:r w:rsidR="002068C3">
        <w:t xml:space="preserve">n accordance with this Agreement, Queen’s shall endeavor to commercialize the Intellectual Property. </w:t>
      </w:r>
      <w:r w:rsidR="009E54E1" w:rsidRPr="00047D5F">
        <w:t xml:space="preserve">Queen’s shall have the sole and exclusive right to commercialize the Intellectual Property </w:t>
      </w:r>
      <w:r w:rsidR="00061C66" w:rsidRPr="00047D5F">
        <w:t>which shall include entering into commercialization related agreements with third parties in relation to the Intellectual Property</w:t>
      </w:r>
      <w:r w:rsidR="009E54E1" w:rsidRPr="00047D5F">
        <w:t>.</w:t>
      </w:r>
      <w:r w:rsidR="008933F9" w:rsidRPr="00047D5F">
        <w:t xml:space="preserve">  </w:t>
      </w:r>
    </w:p>
    <w:p w14:paraId="7F5EE346" w14:textId="4DE6B37C" w:rsidR="00A31D55" w:rsidRPr="00047D5F" w:rsidRDefault="006F7363" w:rsidP="006F7363">
      <w:pPr>
        <w:pStyle w:val="ListParagraph"/>
        <w:numPr>
          <w:ilvl w:val="1"/>
          <w:numId w:val="17"/>
        </w:numPr>
        <w:spacing w:after="240" w:line="240" w:lineRule="auto"/>
        <w:contextualSpacing w:val="0"/>
      </w:pPr>
      <w:r w:rsidRPr="006F7363">
        <w:lastRenderedPageBreak/>
        <w:t>If Queen’s elects to seek protection of the Intellectual Property and the Creator</w:t>
      </w:r>
      <w:r w:rsidR="000D31CB">
        <w:t xml:space="preserve">s have all </w:t>
      </w:r>
      <w:r w:rsidRPr="006F7363">
        <w:t>signed an acknowledgement certifying that the Creator</w:t>
      </w:r>
      <w:r w:rsidR="00C4180C">
        <w:t>s</w:t>
      </w:r>
      <w:r w:rsidRPr="006F7363">
        <w:t xml:space="preserve"> </w:t>
      </w:r>
      <w:r w:rsidR="00C4180C">
        <w:t>are</w:t>
      </w:r>
      <w:r w:rsidRPr="006F7363">
        <w:t xml:space="preserve"> satisfied as to the completeness and accuracy of the Inventorship Investigation, </w:t>
      </w:r>
      <w:r w:rsidR="00605127">
        <w:t>e</w:t>
      </w:r>
      <w:r w:rsidR="002068C3">
        <w:t xml:space="preserve">ach </w:t>
      </w:r>
      <w:r w:rsidR="002068C3" w:rsidRPr="00047D5F">
        <w:t xml:space="preserve">Creator </w:t>
      </w:r>
      <w:r w:rsidR="002068C3">
        <w:t>hereby</w:t>
      </w:r>
      <w:r w:rsidR="002068C3" w:rsidRPr="00047D5F">
        <w:t xml:space="preserve"> assign</w:t>
      </w:r>
      <w:r w:rsidR="002068C3">
        <w:t>s</w:t>
      </w:r>
      <w:r w:rsidR="002068C3" w:rsidRPr="00047D5F">
        <w:t xml:space="preserve"> all right, title and interest in and to the Intellectual Property to</w:t>
      </w:r>
      <w:r w:rsidR="00BF6EA1">
        <w:t xml:space="preserve"> Host Institution</w:t>
      </w:r>
      <w:r w:rsidR="00786D36">
        <w:t>(s)</w:t>
      </w:r>
      <w:r w:rsidR="002068C3" w:rsidRPr="00047D5F">
        <w:t xml:space="preserve"> on the terms set forth in this Agreement.</w:t>
      </w:r>
      <w:r w:rsidR="002068C3">
        <w:t xml:space="preserve"> </w:t>
      </w:r>
      <w:r w:rsidR="002068C3" w:rsidRPr="00AF5DBE">
        <w:t>Creator</w:t>
      </w:r>
      <w:r w:rsidR="002068C3">
        <w:t>s</w:t>
      </w:r>
      <w:r w:rsidR="002068C3" w:rsidRPr="00AF5DBE">
        <w:t xml:space="preserve"> </w:t>
      </w:r>
      <w:r w:rsidR="002068C3">
        <w:t xml:space="preserve">hereby waive all non-assignable rights, including but not limited to, all their moral rights, </w:t>
      </w:r>
      <w:r w:rsidR="002068C3" w:rsidRPr="00AF5DBE">
        <w:t>in the Intellectual Property.</w:t>
      </w:r>
    </w:p>
    <w:p w14:paraId="7641E651" w14:textId="25F2CDFE" w:rsidR="00500047" w:rsidRPr="00047D5F" w:rsidRDefault="00500047" w:rsidP="00500047">
      <w:pPr>
        <w:pStyle w:val="ListParagraph"/>
        <w:numPr>
          <w:ilvl w:val="1"/>
          <w:numId w:val="17"/>
        </w:numPr>
        <w:spacing w:after="240" w:line="240" w:lineRule="auto"/>
        <w:contextualSpacing w:val="0"/>
      </w:pPr>
      <w:r w:rsidRPr="00047D5F">
        <w:t xml:space="preserve">Creator </w:t>
      </w:r>
      <w:r w:rsidR="002563FE">
        <w:t xml:space="preserve">shall, </w:t>
      </w:r>
      <w:r w:rsidRPr="00047D5F">
        <w:t xml:space="preserve">at the expense of Queen’s, execute all necessary </w:t>
      </w:r>
      <w:r w:rsidR="006D5952" w:rsidRPr="00047D5F">
        <w:t>documents</w:t>
      </w:r>
      <w:r w:rsidRPr="00047D5F">
        <w:t>, and take any additional steps as Queen’s requires, to perfect title in and to the Intellectual Property and patent or other applications, reissues, divisions, continuations or continuations-in-part thereof arising therefrom.</w:t>
      </w:r>
    </w:p>
    <w:p w14:paraId="498E3907" w14:textId="1774829F" w:rsidR="00500047" w:rsidRPr="00047D5F" w:rsidRDefault="002068C3" w:rsidP="002D6CFF">
      <w:pPr>
        <w:pStyle w:val="ListParagraph"/>
        <w:numPr>
          <w:ilvl w:val="1"/>
          <w:numId w:val="17"/>
        </w:numPr>
        <w:spacing w:after="240" w:line="240" w:lineRule="auto"/>
        <w:contextualSpacing w:val="0"/>
      </w:pPr>
      <w:r w:rsidRPr="00047D5F">
        <w:t xml:space="preserve">Creator </w:t>
      </w:r>
      <w:r>
        <w:t xml:space="preserve">shall promptly report and fully disclose </w:t>
      </w:r>
      <w:r w:rsidR="00BA5F11">
        <w:t xml:space="preserve">to Queen’s any and </w:t>
      </w:r>
      <w:r w:rsidRPr="00047D5F">
        <w:t>all improvements</w:t>
      </w:r>
      <w:r w:rsidR="00BA5F11">
        <w:t>, whether patentable</w:t>
      </w:r>
      <w:r w:rsidRPr="00047D5F">
        <w:t xml:space="preserve"> </w:t>
      </w:r>
      <w:r w:rsidR="00BA5F11">
        <w:t xml:space="preserve">or not, </w:t>
      </w:r>
      <w:r>
        <w:t xml:space="preserve">related to </w:t>
      </w:r>
      <w:r w:rsidRPr="00047D5F">
        <w:t xml:space="preserve">the Intellectual Property </w:t>
      </w:r>
      <w:r w:rsidR="00BA5F11">
        <w:t xml:space="preserve">that are conceived or created by Creator </w:t>
      </w:r>
      <w:r w:rsidRPr="00047D5F">
        <w:t>while employed by</w:t>
      </w:r>
      <w:r>
        <w:t>, affiliated with</w:t>
      </w:r>
      <w:r w:rsidR="00602B31">
        <w:t>,</w:t>
      </w:r>
      <w:r w:rsidRPr="00047D5F">
        <w:t xml:space="preserve"> or enrolled at a Host Institution</w:t>
      </w:r>
      <w:r w:rsidR="00BA5F11">
        <w:t>.</w:t>
      </w:r>
      <w:r w:rsidRPr="00047D5F">
        <w:t xml:space="preserve"> </w:t>
      </w:r>
      <w:r w:rsidR="00BA5F11">
        <w:t xml:space="preserve">Creator shall assign any </w:t>
      </w:r>
      <w:r w:rsidRPr="00047D5F">
        <w:t xml:space="preserve">such improvements </w:t>
      </w:r>
      <w:r w:rsidR="00BA5F11">
        <w:t xml:space="preserve">to </w:t>
      </w:r>
      <w:r w:rsidR="00786D36">
        <w:t xml:space="preserve">the appropriate </w:t>
      </w:r>
      <w:r w:rsidR="00BF6EA1">
        <w:t>Host Institution</w:t>
      </w:r>
      <w:r w:rsidR="00FF6377">
        <w:t>(s)</w:t>
      </w:r>
      <w:r w:rsidR="00BF6EA1">
        <w:t xml:space="preserve"> </w:t>
      </w:r>
      <w:r w:rsidR="00BA5F11">
        <w:t xml:space="preserve">upon request, for the purpose of commercialization </w:t>
      </w:r>
      <w:r w:rsidRPr="00047D5F">
        <w:t>on the same terms as Intellectual Property</w:t>
      </w:r>
      <w:r w:rsidR="00BA5F11">
        <w:t xml:space="preserve"> under this Agreement.</w:t>
      </w:r>
      <w:r>
        <w:t xml:space="preserve"> </w:t>
      </w:r>
    </w:p>
    <w:p w14:paraId="702E9BE7" w14:textId="1C0AD3E8" w:rsidR="00552269" w:rsidRPr="00047D5F" w:rsidRDefault="00904B60" w:rsidP="00552269">
      <w:pPr>
        <w:pStyle w:val="ListParagraph"/>
        <w:numPr>
          <w:ilvl w:val="1"/>
          <w:numId w:val="17"/>
        </w:numPr>
        <w:spacing w:after="240" w:line="240" w:lineRule="auto"/>
        <w:contextualSpacing w:val="0"/>
      </w:pPr>
      <w:r w:rsidRPr="00047D5F">
        <w:t xml:space="preserve">Each Host </w:t>
      </w:r>
      <w:r w:rsidRPr="006E673F">
        <w:t xml:space="preserve">Institution </w:t>
      </w:r>
      <w:r w:rsidRPr="00047D5F">
        <w:t>retain</w:t>
      </w:r>
      <w:r>
        <w:t>s</w:t>
      </w:r>
      <w:r w:rsidRPr="00047D5F">
        <w:t xml:space="preserve"> the right to use and practice the Intellectual Property </w:t>
      </w:r>
      <w:r w:rsidR="005036E1">
        <w:t xml:space="preserve">(including any related improvements) </w:t>
      </w:r>
      <w:r>
        <w:t xml:space="preserve">solely </w:t>
      </w:r>
      <w:r w:rsidRPr="00047D5F">
        <w:t>for non-commercial research and/or academic purposes</w:t>
      </w:r>
      <w:r>
        <w:t>. Each Host Institution retains the right to license the Intellectual Property solely to</w:t>
      </w:r>
      <w:r w:rsidRPr="00047D5F">
        <w:t xml:space="preserve"> other educational</w:t>
      </w:r>
      <w:r>
        <w:t xml:space="preserve"> institutions</w:t>
      </w:r>
      <w:r w:rsidRPr="00047D5F">
        <w:t>, hospital</w:t>
      </w:r>
      <w:r>
        <w:t>s</w:t>
      </w:r>
      <w:r w:rsidRPr="00047D5F">
        <w:t xml:space="preserve"> or not-for-profit research organizations </w:t>
      </w:r>
      <w:r w:rsidR="00602B31">
        <w:t>solely</w:t>
      </w:r>
      <w:r w:rsidR="00602B31" w:rsidRPr="00047D5F">
        <w:t xml:space="preserve"> </w:t>
      </w:r>
      <w:r w:rsidRPr="00047D5F">
        <w:t xml:space="preserve">for </w:t>
      </w:r>
      <w:r>
        <w:t xml:space="preserve">their </w:t>
      </w:r>
      <w:r w:rsidRPr="00047D5F">
        <w:t>non-commercial research and/or academic purposes</w:t>
      </w:r>
      <w:r>
        <w:t>.</w:t>
      </w:r>
      <w:r w:rsidRPr="00047D5F">
        <w:t xml:space="preserve"> </w:t>
      </w:r>
    </w:p>
    <w:p w14:paraId="471FEF5E" w14:textId="54545B43" w:rsidR="00552269" w:rsidRPr="00047D5F" w:rsidRDefault="0073480B" w:rsidP="00552269">
      <w:pPr>
        <w:pStyle w:val="ListParagraph"/>
        <w:numPr>
          <w:ilvl w:val="1"/>
          <w:numId w:val="17"/>
        </w:numPr>
        <w:spacing w:after="240" w:line="240" w:lineRule="auto"/>
        <w:contextualSpacing w:val="0"/>
      </w:pPr>
      <w:r w:rsidRPr="00047D5F">
        <w:t xml:space="preserve">Creator will inform Queen’s of any research collaborations that may involve the </w:t>
      </w:r>
      <w:r w:rsidR="009C095A" w:rsidRPr="00047D5F">
        <w:t>Intellectual Property</w:t>
      </w:r>
      <w:r w:rsidRPr="00047D5F">
        <w:t xml:space="preserve"> </w:t>
      </w:r>
      <w:r w:rsidR="00AA5D35" w:rsidRPr="00047D5F">
        <w:t xml:space="preserve">ten </w:t>
      </w:r>
      <w:r w:rsidR="00986356" w:rsidRPr="00047D5F">
        <w:t xml:space="preserve">calendar </w:t>
      </w:r>
      <w:r w:rsidR="00AA5D35" w:rsidRPr="00047D5F">
        <w:t xml:space="preserve">days </w:t>
      </w:r>
      <w:r w:rsidRPr="00047D5F">
        <w:t>prior to</w:t>
      </w:r>
      <w:r w:rsidR="00BF6EA1">
        <w:t xml:space="preserve"> Creator and/or</w:t>
      </w:r>
      <w:r w:rsidRPr="00047D5F">
        <w:t xml:space="preserve"> </w:t>
      </w:r>
      <w:r w:rsidR="00904B60">
        <w:t>Creator</w:t>
      </w:r>
      <w:r w:rsidR="00BF6EA1">
        <w:t>’s Host Institution</w:t>
      </w:r>
      <w:r w:rsidR="00904B60">
        <w:t xml:space="preserve"> </w:t>
      </w:r>
      <w:r w:rsidRPr="00047D5F">
        <w:t xml:space="preserve">entering into an </w:t>
      </w:r>
      <w:r w:rsidR="00BA5F11">
        <w:t xml:space="preserve">arrangement or </w:t>
      </w:r>
      <w:r w:rsidRPr="00047D5F">
        <w:t>agreeme</w:t>
      </w:r>
      <w:r w:rsidR="00552269" w:rsidRPr="00047D5F">
        <w:t xml:space="preserve">nt for </w:t>
      </w:r>
      <w:r w:rsidR="001B7926" w:rsidRPr="00047D5F">
        <w:t>such</w:t>
      </w:r>
      <w:r w:rsidR="00552269" w:rsidRPr="00047D5F">
        <w:t xml:space="preserve"> research collaboration.</w:t>
      </w:r>
    </w:p>
    <w:p w14:paraId="2F2ECC21" w14:textId="3E1C558D" w:rsidR="00552269" w:rsidRPr="00047D5F" w:rsidRDefault="0073480B" w:rsidP="00552269">
      <w:pPr>
        <w:pStyle w:val="ListParagraph"/>
        <w:numPr>
          <w:ilvl w:val="1"/>
          <w:numId w:val="17"/>
        </w:numPr>
        <w:spacing w:after="240" w:line="240" w:lineRule="auto"/>
        <w:contextualSpacing w:val="0"/>
      </w:pPr>
      <w:r w:rsidRPr="00047D5F">
        <w:t xml:space="preserve">Creator shall not disclose or discuss the Intellectual Property with, or to, any </w:t>
      </w:r>
      <w:r w:rsidR="00EF4C30" w:rsidRPr="00047D5F">
        <w:t xml:space="preserve">third-party </w:t>
      </w:r>
      <w:r w:rsidRPr="00047D5F">
        <w:t xml:space="preserve">or potential partners without the prior consent of </w:t>
      </w:r>
      <w:r w:rsidR="009C095A" w:rsidRPr="00047D5F">
        <w:t>Queen’s</w:t>
      </w:r>
      <w:r w:rsidRPr="00047D5F">
        <w:t xml:space="preserve">, </w:t>
      </w:r>
      <w:r w:rsidR="00396D1C">
        <w:t xml:space="preserve">such consent </w:t>
      </w:r>
      <w:r w:rsidRPr="00047D5F">
        <w:t>not to be unreasonably withheld.</w:t>
      </w:r>
    </w:p>
    <w:p w14:paraId="3159E5CE" w14:textId="77777777" w:rsidR="00552269" w:rsidRPr="00047D5F" w:rsidRDefault="0073480B" w:rsidP="00552269">
      <w:pPr>
        <w:pStyle w:val="ListParagraph"/>
        <w:numPr>
          <w:ilvl w:val="1"/>
          <w:numId w:val="17"/>
        </w:numPr>
        <w:spacing w:after="240" w:line="240" w:lineRule="auto"/>
        <w:contextualSpacing w:val="0"/>
      </w:pPr>
      <w:r w:rsidRPr="00047D5F">
        <w:t>Queen’s wi</w:t>
      </w:r>
      <w:r w:rsidR="00552269" w:rsidRPr="00047D5F">
        <w:t xml:space="preserve">ll not be barred from receiving, </w:t>
      </w:r>
      <w:r w:rsidRPr="00047D5F">
        <w:t>reviewing</w:t>
      </w:r>
      <w:r w:rsidR="00552269" w:rsidRPr="00047D5F">
        <w:t>, or commercializing</w:t>
      </w:r>
      <w:r w:rsidRPr="00047D5F">
        <w:t xml:space="preserve"> other intellectual property, which may be deemed to be competitive with the Intellectual Property.</w:t>
      </w:r>
    </w:p>
    <w:p w14:paraId="60D1E52D" w14:textId="390276E7" w:rsidR="008C392D" w:rsidRPr="00047D5F" w:rsidRDefault="00552269" w:rsidP="006E5BDC">
      <w:pPr>
        <w:pStyle w:val="ListParagraph"/>
        <w:numPr>
          <w:ilvl w:val="1"/>
          <w:numId w:val="17"/>
        </w:numPr>
        <w:spacing w:after="0" w:line="240" w:lineRule="auto"/>
        <w:contextualSpacing w:val="0"/>
      </w:pPr>
      <w:r w:rsidRPr="00047D5F">
        <w:t>C</w:t>
      </w:r>
      <w:r w:rsidR="00A059EF" w:rsidRPr="00047D5F">
        <w:t>reator</w:t>
      </w:r>
      <w:r w:rsidRPr="00047D5F">
        <w:t xml:space="preserve"> acknowledge</w:t>
      </w:r>
      <w:r w:rsidR="0046026E" w:rsidRPr="00047D5F">
        <w:t>s</w:t>
      </w:r>
      <w:r w:rsidRPr="00047D5F">
        <w:t xml:space="preserve"> </w:t>
      </w:r>
      <w:r w:rsidR="00A059EF" w:rsidRPr="00047D5F">
        <w:t>that</w:t>
      </w:r>
      <w:r w:rsidR="008B1125" w:rsidRPr="008B1125">
        <w:rPr>
          <w:bCs/>
        </w:rPr>
        <w:t xml:space="preserve"> </w:t>
      </w:r>
      <w:r w:rsidR="00A059EF" w:rsidRPr="00047D5F">
        <w:t xml:space="preserve">independent legal and tax advice </w:t>
      </w:r>
      <w:r w:rsidR="0046026E" w:rsidRPr="00047D5F">
        <w:t xml:space="preserve">should </w:t>
      </w:r>
      <w:r w:rsidRPr="00047D5F">
        <w:t>be sought</w:t>
      </w:r>
      <w:r w:rsidR="008B1125" w:rsidRPr="008B1125">
        <w:rPr>
          <w:bCs/>
        </w:rPr>
        <w:t xml:space="preserve"> </w:t>
      </w:r>
      <w:r w:rsidR="008B1125">
        <w:rPr>
          <w:bCs/>
        </w:rPr>
        <w:t>and they have had the opportunity to obtain independent</w:t>
      </w:r>
      <w:r w:rsidR="008B1125" w:rsidRPr="008B1125">
        <w:t xml:space="preserve"> </w:t>
      </w:r>
      <w:r w:rsidR="008B1125" w:rsidRPr="00047D5F">
        <w:t>legal and tax advice</w:t>
      </w:r>
      <w:r w:rsidR="009E4F05" w:rsidRPr="00047D5F">
        <w:t>, at their cost,</w:t>
      </w:r>
      <w:r w:rsidRPr="00047D5F">
        <w:t xml:space="preserve"> </w:t>
      </w:r>
      <w:r w:rsidR="008B1125">
        <w:t>in relation</w:t>
      </w:r>
      <w:r w:rsidR="00A059EF" w:rsidRPr="00047D5F">
        <w:t xml:space="preserve"> to the terms of this Agreement</w:t>
      </w:r>
      <w:r w:rsidR="008B1125" w:rsidRPr="008B1125">
        <w:rPr>
          <w:bCs/>
        </w:rPr>
        <w:t xml:space="preserve"> </w:t>
      </w:r>
      <w:r w:rsidR="008B1125">
        <w:rPr>
          <w:bCs/>
        </w:rPr>
        <w:t>and in connection with the execution hereof</w:t>
      </w:r>
      <w:r w:rsidR="00A059EF" w:rsidRPr="00047D5F">
        <w:t>.</w:t>
      </w:r>
      <w:r w:rsidR="008B1125">
        <w:t xml:space="preserve"> </w:t>
      </w:r>
    </w:p>
    <w:p w14:paraId="6F51EB47" w14:textId="77777777" w:rsidR="0073480B" w:rsidRPr="00047D5F" w:rsidRDefault="0073480B" w:rsidP="00D719EF">
      <w:pPr>
        <w:spacing w:after="0" w:line="240" w:lineRule="auto"/>
      </w:pPr>
    </w:p>
    <w:p w14:paraId="34BBED44" w14:textId="77777777" w:rsidR="00217EE8" w:rsidRPr="006E3CFB" w:rsidRDefault="00EA0464" w:rsidP="00217EE8">
      <w:pPr>
        <w:pStyle w:val="ListParagraph"/>
        <w:numPr>
          <w:ilvl w:val="0"/>
          <w:numId w:val="17"/>
        </w:numPr>
        <w:spacing w:after="240" w:line="240" w:lineRule="auto"/>
        <w:contextualSpacing w:val="0"/>
        <w:rPr>
          <w:rFonts w:cstheme="minorHAnsi"/>
          <w:b/>
        </w:rPr>
      </w:pPr>
      <w:r w:rsidRPr="006E3CFB">
        <w:rPr>
          <w:rFonts w:cstheme="minorHAnsi"/>
          <w:b/>
        </w:rPr>
        <w:t xml:space="preserve">Technology transfer </w:t>
      </w:r>
      <w:r w:rsidR="00217EE8" w:rsidRPr="006E3CFB">
        <w:rPr>
          <w:rFonts w:cstheme="minorHAnsi"/>
          <w:b/>
        </w:rPr>
        <w:t>activities</w:t>
      </w:r>
    </w:p>
    <w:p w14:paraId="288A27E4" w14:textId="77777777" w:rsidR="00A31D55" w:rsidRDefault="008C392D" w:rsidP="006E673F">
      <w:pPr>
        <w:pStyle w:val="ListParagraph"/>
        <w:numPr>
          <w:ilvl w:val="1"/>
          <w:numId w:val="17"/>
        </w:numPr>
        <w:spacing w:after="240" w:line="240" w:lineRule="auto"/>
        <w:rPr>
          <w:rFonts w:cstheme="minorHAnsi"/>
        </w:rPr>
      </w:pPr>
      <w:r w:rsidRPr="00F311E1">
        <w:rPr>
          <w:rFonts w:cstheme="minorHAnsi"/>
        </w:rPr>
        <w:t>Queen’s shall, at its own expense, exercise such effort as shall be reasonable in the circumstances to commercialize the Intellectual Property</w:t>
      </w:r>
      <w:r w:rsidRPr="00BA5F11">
        <w:rPr>
          <w:rFonts w:cstheme="minorHAnsi"/>
        </w:rPr>
        <w:t>.</w:t>
      </w:r>
      <w:r w:rsidR="00A31D55" w:rsidRPr="00BA5F11">
        <w:rPr>
          <w:rFonts w:cstheme="minorHAnsi"/>
        </w:rPr>
        <w:t xml:space="preserve">  Queen’s, as appropriate, will undertake one or more of the following activities related to the Intellectual Property:</w:t>
      </w:r>
    </w:p>
    <w:p w14:paraId="572915AA" w14:textId="77777777" w:rsidR="00BA5F11" w:rsidRPr="00BA5F11" w:rsidRDefault="00BA5F11" w:rsidP="00BA5F11">
      <w:pPr>
        <w:pStyle w:val="ListParagraph"/>
        <w:spacing w:after="240" w:line="240" w:lineRule="auto"/>
        <w:ind w:left="792"/>
        <w:rPr>
          <w:rFonts w:cstheme="minorHAnsi"/>
        </w:rPr>
      </w:pPr>
    </w:p>
    <w:p w14:paraId="5E3111AB" w14:textId="77777777" w:rsidR="00A31D55" w:rsidRDefault="00A31D55" w:rsidP="0050704C">
      <w:pPr>
        <w:pStyle w:val="ListParagraph"/>
        <w:numPr>
          <w:ilvl w:val="2"/>
          <w:numId w:val="35"/>
        </w:numPr>
        <w:spacing w:after="240" w:line="240" w:lineRule="auto"/>
        <w:rPr>
          <w:rFonts w:cstheme="minorHAnsi"/>
        </w:rPr>
      </w:pPr>
      <w:r w:rsidRPr="00BA5F11">
        <w:rPr>
          <w:rFonts w:cstheme="minorHAnsi"/>
        </w:rPr>
        <w:t>Conduct a detailed review of the Intellectual Property;</w:t>
      </w:r>
    </w:p>
    <w:p w14:paraId="1B7FB114" w14:textId="77777777" w:rsidR="00BA5F11" w:rsidRPr="00BA5F11" w:rsidRDefault="00BA5F11" w:rsidP="00BA5F11">
      <w:pPr>
        <w:pStyle w:val="ListParagraph"/>
        <w:spacing w:after="240" w:line="240" w:lineRule="auto"/>
        <w:ind w:left="1224"/>
        <w:rPr>
          <w:rFonts w:cstheme="minorHAnsi"/>
        </w:rPr>
      </w:pPr>
    </w:p>
    <w:p w14:paraId="0CB90B95" w14:textId="77777777" w:rsidR="00A31D55" w:rsidRDefault="00A31D55" w:rsidP="0050704C">
      <w:pPr>
        <w:pStyle w:val="ListParagraph"/>
        <w:numPr>
          <w:ilvl w:val="2"/>
          <w:numId w:val="35"/>
        </w:numPr>
        <w:spacing w:after="240" w:line="240" w:lineRule="auto"/>
        <w:rPr>
          <w:rFonts w:cstheme="minorHAnsi"/>
        </w:rPr>
      </w:pPr>
      <w:r w:rsidRPr="00BA5F11">
        <w:rPr>
          <w:rFonts w:cstheme="minorHAnsi"/>
        </w:rPr>
        <w:t>With assistance from Creator(s), generate and implement a commercialization strategy;</w:t>
      </w:r>
    </w:p>
    <w:p w14:paraId="31FE1943" w14:textId="77777777" w:rsidR="00BA5F11" w:rsidRPr="00BA5F11" w:rsidRDefault="00BA5F11" w:rsidP="00BA5F11">
      <w:pPr>
        <w:pStyle w:val="ListParagraph"/>
        <w:spacing w:after="240" w:line="240" w:lineRule="auto"/>
        <w:ind w:left="1224"/>
        <w:rPr>
          <w:rFonts w:cstheme="minorHAnsi"/>
        </w:rPr>
      </w:pPr>
    </w:p>
    <w:p w14:paraId="7C1BF9C6" w14:textId="2E985DC7" w:rsidR="00A31D55" w:rsidRDefault="00A31D55" w:rsidP="0050704C">
      <w:pPr>
        <w:pStyle w:val="ListParagraph"/>
        <w:numPr>
          <w:ilvl w:val="2"/>
          <w:numId w:val="35"/>
        </w:numPr>
        <w:spacing w:after="240" w:line="240" w:lineRule="auto"/>
        <w:rPr>
          <w:rFonts w:cstheme="minorHAnsi"/>
        </w:rPr>
      </w:pPr>
      <w:r w:rsidRPr="00BA5F11">
        <w:rPr>
          <w:rFonts w:cstheme="minorHAnsi"/>
        </w:rPr>
        <w:lastRenderedPageBreak/>
        <w:t xml:space="preserve">Generate and implement an </w:t>
      </w:r>
      <w:r w:rsidR="00396D1C" w:rsidRPr="00BA5F11">
        <w:rPr>
          <w:rFonts w:cstheme="minorHAnsi"/>
        </w:rPr>
        <w:t>I</w:t>
      </w:r>
      <w:r w:rsidRPr="00BA5F11">
        <w:rPr>
          <w:rFonts w:cstheme="minorHAnsi"/>
        </w:rPr>
        <w:t xml:space="preserve">ntellectual </w:t>
      </w:r>
      <w:r w:rsidR="00396D1C" w:rsidRPr="00BA5F11">
        <w:rPr>
          <w:rFonts w:cstheme="minorHAnsi"/>
        </w:rPr>
        <w:t>P</w:t>
      </w:r>
      <w:r w:rsidRPr="00BA5F11">
        <w:rPr>
          <w:rFonts w:cstheme="minorHAnsi"/>
        </w:rPr>
        <w:t>roperty protection plan (which may or may not entail the preparation and filing of a patent application or applications);</w:t>
      </w:r>
    </w:p>
    <w:p w14:paraId="584A2A59" w14:textId="77777777" w:rsidR="00BA5F11" w:rsidRPr="00BA5F11" w:rsidRDefault="00BA5F11" w:rsidP="00BA5F11">
      <w:pPr>
        <w:pStyle w:val="ListParagraph"/>
        <w:spacing w:after="240" w:line="240" w:lineRule="auto"/>
        <w:ind w:left="1224"/>
        <w:rPr>
          <w:rFonts w:cstheme="minorHAnsi"/>
        </w:rPr>
      </w:pPr>
    </w:p>
    <w:p w14:paraId="30477744" w14:textId="77777777" w:rsidR="00A31D55" w:rsidRDefault="00A31D55" w:rsidP="0050704C">
      <w:pPr>
        <w:pStyle w:val="ListParagraph"/>
        <w:numPr>
          <w:ilvl w:val="2"/>
          <w:numId w:val="35"/>
        </w:numPr>
        <w:spacing w:after="240" w:line="240" w:lineRule="auto"/>
        <w:rPr>
          <w:rFonts w:cstheme="minorHAnsi"/>
        </w:rPr>
      </w:pPr>
      <w:r w:rsidRPr="00BA5F11">
        <w:rPr>
          <w:rFonts w:cstheme="minorHAnsi"/>
        </w:rPr>
        <w:t>Actively market the Intellectual Property to third-parties;</w:t>
      </w:r>
    </w:p>
    <w:p w14:paraId="40B74ADD" w14:textId="77777777" w:rsidR="00BA5F11" w:rsidRPr="00BA5F11" w:rsidRDefault="00BA5F11" w:rsidP="00BA5F11">
      <w:pPr>
        <w:pStyle w:val="ListParagraph"/>
        <w:spacing w:after="240" w:line="240" w:lineRule="auto"/>
        <w:ind w:left="1224"/>
        <w:rPr>
          <w:rFonts w:cstheme="minorHAnsi"/>
        </w:rPr>
      </w:pPr>
    </w:p>
    <w:p w14:paraId="52BFCDFC" w14:textId="77777777" w:rsidR="00A31D55" w:rsidRDefault="00A31D55" w:rsidP="0050704C">
      <w:pPr>
        <w:pStyle w:val="ListParagraph"/>
        <w:numPr>
          <w:ilvl w:val="2"/>
          <w:numId w:val="35"/>
        </w:numPr>
        <w:spacing w:after="240" w:line="240" w:lineRule="auto"/>
        <w:rPr>
          <w:rFonts w:cstheme="minorHAnsi"/>
        </w:rPr>
      </w:pPr>
      <w:r w:rsidRPr="00BA5F11">
        <w:rPr>
          <w:rFonts w:cstheme="minorHAnsi"/>
        </w:rPr>
        <w:t>Negotiate relevant commercialization-related agreements (e.g., confidentiality agreements, license agreements);</w:t>
      </w:r>
    </w:p>
    <w:p w14:paraId="234E2440" w14:textId="77777777" w:rsidR="00BA5F11" w:rsidRPr="00BA5F11" w:rsidRDefault="00BA5F11" w:rsidP="00BA5F11">
      <w:pPr>
        <w:pStyle w:val="ListParagraph"/>
        <w:spacing w:after="240" w:line="240" w:lineRule="auto"/>
        <w:ind w:left="1224"/>
        <w:rPr>
          <w:rFonts w:cstheme="minorHAnsi"/>
        </w:rPr>
      </w:pPr>
    </w:p>
    <w:p w14:paraId="07D16DB7" w14:textId="77777777" w:rsidR="00A31D55" w:rsidRDefault="00A31D55" w:rsidP="0050704C">
      <w:pPr>
        <w:pStyle w:val="ListParagraph"/>
        <w:numPr>
          <w:ilvl w:val="2"/>
          <w:numId w:val="35"/>
        </w:numPr>
        <w:spacing w:after="240" w:line="240" w:lineRule="auto"/>
        <w:rPr>
          <w:rFonts w:cstheme="minorHAnsi"/>
        </w:rPr>
      </w:pPr>
      <w:r w:rsidRPr="00BA5F11">
        <w:rPr>
          <w:rFonts w:cstheme="minorHAnsi"/>
        </w:rPr>
        <w:t>Provide financial accounting and reporting;</w:t>
      </w:r>
    </w:p>
    <w:p w14:paraId="086ABD61" w14:textId="77777777" w:rsidR="00BA5F11" w:rsidRDefault="00BA5F11" w:rsidP="00BA5F11">
      <w:pPr>
        <w:pStyle w:val="ListParagraph"/>
        <w:spacing w:after="240" w:line="240" w:lineRule="auto"/>
        <w:ind w:left="1224"/>
        <w:rPr>
          <w:rFonts w:cstheme="minorHAnsi"/>
        </w:rPr>
      </w:pPr>
      <w:r>
        <w:rPr>
          <w:rFonts w:cstheme="minorHAnsi"/>
        </w:rPr>
        <w:t xml:space="preserve"> </w:t>
      </w:r>
    </w:p>
    <w:p w14:paraId="01EFF90D" w14:textId="521106E7" w:rsidR="00A31D55" w:rsidRDefault="00A31D55" w:rsidP="00BA5F11">
      <w:pPr>
        <w:pStyle w:val="ListParagraph"/>
        <w:numPr>
          <w:ilvl w:val="2"/>
          <w:numId w:val="35"/>
        </w:numPr>
        <w:spacing w:after="240" w:line="240" w:lineRule="auto"/>
        <w:rPr>
          <w:rFonts w:cstheme="minorHAnsi"/>
        </w:rPr>
      </w:pPr>
      <w:r w:rsidRPr="00BA5F11">
        <w:rPr>
          <w:rFonts w:cstheme="minorHAnsi"/>
        </w:rPr>
        <w:t>In certain cases, support the creation of a start-up company for the commercialization of the Intellectual Property;</w:t>
      </w:r>
    </w:p>
    <w:p w14:paraId="7242AA40" w14:textId="77777777" w:rsidR="006F44E5" w:rsidRPr="00BA5F11" w:rsidRDefault="006F44E5" w:rsidP="006F44E5">
      <w:pPr>
        <w:pStyle w:val="ListParagraph"/>
        <w:spacing w:after="240" w:line="240" w:lineRule="auto"/>
        <w:ind w:left="1224"/>
        <w:rPr>
          <w:rFonts w:cstheme="minorHAnsi"/>
        </w:rPr>
      </w:pPr>
    </w:p>
    <w:p w14:paraId="1147BC5B" w14:textId="4DA264AE" w:rsidR="008C392D" w:rsidRPr="00047D5F" w:rsidRDefault="008C392D" w:rsidP="00217EE8">
      <w:pPr>
        <w:pStyle w:val="ListParagraph"/>
        <w:numPr>
          <w:ilvl w:val="1"/>
          <w:numId w:val="17"/>
        </w:numPr>
        <w:spacing w:after="240" w:line="240" w:lineRule="auto"/>
        <w:contextualSpacing w:val="0"/>
      </w:pPr>
      <w:r w:rsidRPr="00047D5F">
        <w:t>Prior to the</w:t>
      </w:r>
      <w:r w:rsidR="00786D36">
        <w:t xml:space="preserve"> assignment of all rights, title and interest in and to the Intellectual Property</w:t>
      </w:r>
      <w:r w:rsidRPr="00047D5F">
        <w:t xml:space="preserve"> to </w:t>
      </w:r>
      <w:r w:rsidR="00C048BB" w:rsidRPr="00047D5F">
        <w:t>Host Institution</w:t>
      </w:r>
      <w:r w:rsidRPr="00047D5F">
        <w:t xml:space="preserve"> (as applicable) and/or prior to Queen’s or any corporation or other entity in which Queen’s has an interest entering into an agreement with a third party in relation to the commercialization of the Intellectual Property, Queen’s shall:</w:t>
      </w:r>
    </w:p>
    <w:p w14:paraId="6B062C98" w14:textId="69FD3E5A" w:rsidR="00393CA9" w:rsidRDefault="008C392D" w:rsidP="006F44E5">
      <w:pPr>
        <w:pStyle w:val="ListParagraph"/>
        <w:numPr>
          <w:ilvl w:val="2"/>
          <w:numId w:val="17"/>
        </w:numPr>
        <w:spacing w:after="240" w:line="240" w:lineRule="auto"/>
        <w:contextualSpacing w:val="0"/>
      </w:pPr>
      <w:r w:rsidRPr="00047D5F">
        <w:t xml:space="preserve">Provide </w:t>
      </w:r>
      <w:r w:rsidR="005036E1">
        <w:t xml:space="preserve">each </w:t>
      </w:r>
      <w:r w:rsidRPr="00047D5F">
        <w:t>Creator with a detailed account of the Inventorship Investigation including the names of all individuals contacted, the date on which each was contacted, and their involvement in the Intellectual Property.</w:t>
      </w:r>
    </w:p>
    <w:p w14:paraId="2686FF9A" w14:textId="2BC3D9C8" w:rsidR="000A41BC" w:rsidRPr="00047D5F" w:rsidRDefault="006F44E5" w:rsidP="006F44E5">
      <w:pPr>
        <w:pStyle w:val="ListParagraph"/>
        <w:numPr>
          <w:ilvl w:val="2"/>
          <w:numId w:val="17"/>
        </w:numPr>
        <w:spacing w:after="240" w:line="240" w:lineRule="auto"/>
        <w:contextualSpacing w:val="0"/>
      </w:pPr>
      <w:r>
        <w:t>Requ</w:t>
      </w:r>
      <w:r w:rsidR="004B6E0C">
        <w:t>ire</w:t>
      </w:r>
      <w:r>
        <w:t xml:space="preserve"> a</w:t>
      </w:r>
      <w:r w:rsidR="000A41BC" w:rsidRPr="00047D5F">
        <w:t xml:space="preserve"> signed acknowledgement from each Creator certifying that they are satisfied as to the completeness and accuracy of the Inventorship Investigation.</w:t>
      </w:r>
      <w:r>
        <w:t xml:space="preserve"> Where a signed acknowledgement is not provided, Queen’s may terminate this </w:t>
      </w:r>
      <w:r w:rsidR="004B6E0C">
        <w:t>A</w:t>
      </w:r>
      <w:r>
        <w:t>greement immediately upon written notice</w:t>
      </w:r>
      <w:r w:rsidR="004B6E0C">
        <w:t xml:space="preserve"> to the other parties</w:t>
      </w:r>
      <w:r>
        <w:t>.</w:t>
      </w:r>
    </w:p>
    <w:p w14:paraId="4E9A2A97" w14:textId="4ED31FEB" w:rsidR="00393CA9" w:rsidRDefault="00393CA9" w:rsidP="00986356">
      <w:pPr>
        <w:pStyle w:val="ListParagraph"/>
        <w:numPr>
          <w:ilvl w:val="1"/>
          <w:numId w:val="17"/>
        </w:numPr>
        <w:spacing w:after="240" w:line="240" w:lineRule="auto"/>
        <w:contextualSpacing w:val="0"/>
      </w:pPr>
      <w:r>
        <w:t xml:space="preserve">Should the Inventorship Investigation identify Contributor(s) not party to this Agreement, </w:t>
      </w:r>
      <w:r w:rsidR="006F44E5">
        <w:t xml:space="preserve">the parties shall </w:t>
      </w:r>
      <w:r>
        <w:t>amend the Agreement to permit the identified Contributor(s) to be</w:t>
      </w:r>
      <w:r w:rsidR="006F44E5">
        <w:t>come</w:t>
      </w:r>
      <w:r>
        <w:t xml:space="preserve"> a party to this Agreement </w:t>
      </w:r>
      <w:r w:rsidR="006F44E5">
        <w:t xml:space="preserve">as “Creator” </w:t>
      </w:r>
      <w:r>
        <w:t>under the terms</w:t>
      </w:r>
      <w:r w:rsidR="006E3CFB">
        <w:t xml:space="preserve"> existing at that time</w:t>
      </w:r>
      <w:r>
        <w:t>.</w:t>
      </w:r>
    </w:p>
    <w:p w14:paraId="7265FD37" w14:textId="7B71C853" w:rsidR="00217EE8" w:rsidRPr="00047D5F" w:rsidRDefault="00AF301A" w:rsidP="00986356">
      <w:pPr>
        <w:pStyle w:val="ListParagraph"/>
        <w:numPr>
          <w:ilvl w:val="1"/>
          <w:numId w:val="17"/>
        </w:numPr>
        <w:spacing w:after="240" w:line="240" w:lineRule="auto"/>
        <w:contextualSpacing w:val="0"/>
      </w:pPr>
      <w:r>
        <w:t>Where necessary under an Intellectual  Property protection pla</w:t>
      </w:r>
      <w:r w:rsidR="001B404A">
        <w:t>n, a</w:t>
      </w:r>
      <w:r>
        <w:t>s described under subsection 3.1(c)</w:t>
      </w:r>
      <w:r w:rsidR="001B404A">
        <w:t xml:space="preserve"> above</w:t>
      </w:r>
      <w:r>
        <w:t xml:space="preserve">, </w:t>
      </w:r>
      <w:r w:rsidR="008C392D" w:rsidRPr="00047D5F">
        <w:t xml:space="preserve">Queen’s </w:t>
      </w:r>
      <w:r>
        <w:t xml:space="preserve">shall </w:t>
      </w:r>
      <w:r w:rsidR="008C392D" w:rsidRPr="00047D5F">
        <w:t>pay, or arrange for payment of, all costs for preparing, prosecuting and maintaining all applications for patent, copyright or industrial design (as appropriate), all patents, copyrights, registered designs issuing thereon in all such countries as it s</w:t>
      </w:r>
      <w:r w:rsidR="00500047" w:rsidRPr="00047D5F">
        <w:t xml:space="preserve">hall, in its </w:t>
      </w:r>
      <w:r w:rsidR="00582574" w:rsidRPr="00047D5F">
        <w:t xml:space="preserve">sole </w:t>
      </w:r>
      <w:r w:rsidR="00500047" w:rsidRPr="00047D5F">
        <w:t>judgement, elect</w:t>
      </w:r>
      <w:r w:rsidR="001B7926" w:rsidRPr="00047D5F">
        <w:t xml:space="preserve">. </w:t>
      </w:r>
      <w:r w:rsidR="008C392D" w:rsidRPr="00047D5F">
        <w:t xml:space="preserve">Queen’s shall not permit any such application or registration to become irrevocably abandoned, other than by way of final rejection by the appropriate office from which there is no further appeal within that office, without affording the Creator at least 30 </w:t>
      </w:r>
      <w:r w:rsidR="008933F9" w:rsidRPr="00047D5F">
        <w:t xml:space="preserve">calendar </w:t>
      </w:r>
      <w:r w:rsidR="008C392D" w:rsidRPr="00047D5F">
        <w:t>days to assume responsibility for continued prosecution and/or maintenance at Creator’s own expense.</w:t>
      </w:r>
    </w:p>
    <w:p w14:paraId="4DB00ADC" w14:textId="0ED9BD67" w:rsidR="00217EE8" w:rsidRPr="00047D5F" w:rsidRDefault="00D555A0" w:rsidP="001B7926">
      <w:pPr>
        <w:pStyle w:val="ListParagraph"/>
        <w:numPr>
          <w:ilvl w:val="1"/>
          <w:numId w:val="17"/>
        </w:numPr>
        <w:spacing w:after="240" w:line="240" w:lineRule="auto"/>
        <w:contextualSpacing w:val="0"/>
      </w:pPr>
      <w:r w:rsidRPr="00047D5F">
        <w:t xml:space="preserve">Queen’s shall notify Creator of </w:t>
      </w:r>
      <w:r w:rsidR="001B404A">
        <w:t xml:space="preserve">Queen’s </w:t>
      </w:r>
      <w:r w:rsidRPr="00047D5F">
        <w:t xml:space="preserve">participation in discussions with a third-party in relation to the commercialization of the Intellectual Property </w:t>
      </w:r>
      <w:r w:rsidR="001B404A">
        <w:t xml:space="preserve">by providing Creator the name of the third-party and the nature of the proposed discussions </w:t>
      </w:r>
      <w:r w:rsidRPr="00047D5F">
        <w:t xml:space="preserve">at least </w:t>
      </w:r>
      <w:r w:rsidR="001B404A">
        <w:t>15</w:t>
      </w:r>
      <w:r w:rsidRPr="00047D5F">
        <w:t xml:space="preserve"> calendar days prior to </w:t>
      </w:r>
      <w:r w:rsidR="001B404A">
        <w:t xml:space="preserve">Queen’s </w:t>
      </w:r>
      <w:r w:rsidRPr="00047D5F">
        <w:t xml:space="preserve">entering into a </w:t>
      </w:r>
      <w:r w:rsidR="00E83B59" w:rsidRPr="00047D5F">
        <w:t>commercialization agreement</w:t>
      </w:r>
      <w:r w:rsidR="001B404A">
        <w:t>, including a license agreement related to the Intellectual Property</w:t>
      </w:r>
      <w:r w:rsidR="00E83B59" w:rsidRPr="00047D5F">
        <w:t xml:space="preserve"> </w:t>
      </w:r>
      <w:r w:rsidRPr="00047D5F">
        <w:t>with such third-</w:t>
      </w:r>
      <w:r w:rsidR="00217EE8" w:rsidRPr="00047D5F">
        <w:t>party.</w:t>
      </w:r>
    </w:p>
    <w:p w14:paraId="759D78B4" w14:textId="77777777" w:rsidR="008C392D" w:rsidRPr="00047D5F" w:rsidRDefault="008C392D" w:rsidP="00D719EF">
      <w:pPr>
        <w:spacing w:after="0" w:line="240" w:lineRule="auto"/>
      </w:pPr>
    </w:p>
    <w:p w14:paraId="352C88FA" w14:textId="77777777" w:rsidR="009128FE" w:rsidRPr="006E3CFB" w:rsidRDefault="008C392D" w:rsidP="00986356">
      <w:pPr>
        <w:pStyle w:val="ListParagraph"/>
        <w:numPr>
          <w:ilvl w:val="0"/>
          <w:numId w:val="17"/>
        </w:numPr>
        <w:spacing w:after="240" w:line="240" w:lineRule="auto"/>
        <w:contextualSpacing w:val="0"/>
        <w:rPr>
          <w:b/>
        </w:rPr>
      </w:pPr>
      <w:r w:rsidRPr="006E3CFB">
        <w:rPr>
          <w:b/>
        </w:rPr>
        <w:lastRenderedPageBreak/>
        <w:t>Financial</w:t>
      </w:r>
    </w:p>
    <w:p w14:paraId="088FB4C4" w14:textId="77777777" w:rsidR="00217EE8" w:rsidRPr="00047D5F" w:rsidRDefault="008C392D">
      <w:pPr>
        <w:pStyle w:val="ListParagraph"/>
        <w:numPr>
          <w:ilvl w:val="1"/>
          <w:numId w:val="17"/>
        </w:numPr>
        <w:spacing w:after="240" w:line="240" w:lineRule="auto"/>
        <w:contextualSpacing w:val="0"/>
      </w:pPr>
      <w:r w:rsidRPr="00047D5F">
        <w:t>Queen’s shall maintain accurate records of its Identifiable Costs</w:t>
      </w:r>
      <w:r w:rsidR="00EA0464" w:rsidRPr="00047D5F">
        <w:t>.</w:t>
      </w:r>
    </w:p>
    <w:p w14:paraId="0C1683CB" w14:textId="77777777" w:rsidR="00217EE8" w:rsidRPr="00047D5F" w:rsidRDefault="00EA0464" w:rsidP="009128FE">
      <w:pPr>
        <w:pStyle w:val="ListParagraph"/>
        <w:numPr>
          <w:ilvl w:val="1"/>
          <w:numId w:val="17"/>
        </w:numPr>
        <w:spacing w:after="240" w:line="240" w:lineRule="auto"/>
        <w:contextualSpacing w:val="0"/>
      </w:pPr>
      <w:r w:rsidRPr="00047D5F">
        <w:t>Queen’s shall provide Creator</w:t>
      </w:r>
      <w:r w:rsidR="00BD0E30" w:rsidRPr="00047D5F">
        <w:t xml:space="preserve"> </w:t>
      </w:r>
      <w:r w:rsidRPr="00047D5F">
        <w:t>with a report of Gross Revenue received, if any have been received, and at the same time shall pay to the Creator</w:t>
      </w:r>
      <w:r w:rsidR="00D6406E" w:rsidRPr="00047D5F">
        <w:t>(s)</w:t>
      </w:r>
      <w:r w:rsidRPr="00047D5F">
        <w:t xml:space="preserve"> 50% of the Net Proceeds received in each calendar year, not later than March 1st in the following calendar year.  In the event of more than one Creator of the Intellectual Property, any such 50% of the Net Proceeds shall be </w:t>
      </w:r>
      <w:r w:rsidR="00BC7473" w:rsidRPr="00047D5F">
        <w:t xml:space="preserve">held in trust, without interest, until </w:t>
      </w:r>
      <w:r w:rsidRPr="00047D5F">
        <w:t>all Creators of such Intellectual Property have agreed, in writing, to a sharing arrangement</w:t>
      </w:r>
      <w:r w:rsidR="00AF301A">
        <w:t xml:space="preserve"> for such Net Proceeds</w:t>
      </w:r>
      <w:r w:rsidRPr="00047D5F">
        <w:t>.</w:t>
      </w:r>
    </w:p>
    <w:p w14:paraId="56CACC40" w14:textId="3AFCEBBD" w:rsidR="00217EE8" w:rsidRPr="00047D5F" w:rsidRDefault="00EA0464">
      <w:pPr>
        <w:pStyle w:val="ListParagraph"/>
        <w:numPr>
          <w:ilvl w:val="1"/>
          <w:numId w:val="17"/>
        </w:numPr>
        <w:spacing w:after="240" w:line="240" w:lineRule="auto"/>
        <w:contextualSpacing w:val="0"/>
      </w:pPr>
      <w:r w:rsidRPr="00047D5F">
        <w:t>At Queen’s discretion, and without the approval of the Creator, Queen’s may withhold</w:t>
      </w:r>
      <w:r w:rsidR="00BC7473" w:rsidRPr="00047D5F">
        <w:t>, without interest,</w:t>
      </w:r>
      <w:r w:rsidRPr="00047D5F">
        <w:t xml:space="preserve"> up to 10% of the Net Proceeds to fund Identifiable Costs of subsequent years where such Identifiable Costs are anticipated by Queen’s to be greater than Gross Revenues</w:t>
      </w:r>
      <w:r w:rsidR="000A2811" w:rsidRPr="00047D5F">
        <w:t xml:space="preserve"> of </w:t>
      </w:r>
      <w:r w:rsidR="00A31D55" w:rsidRPr="00047D5F">
        <w:t xml:space="preserve">future </w:t>
      </w:r>
      <w:r w:rsidR="000A2811" w:rsidRPr="00047D5F">
        <w:t>years</w:t>
      </w:r>
      <w:r w:rsidRPr="00047D5F">
        <w:t>.  Should Queen’s request to withhold an amount great</w:t>
      </w:r>
      <w:r w:rsidR="00C95772" w:rsidRPr="00047D5F">
        <w:t>er</w:t>
      </w:r>
      <w:r w:rsidRPr="00047D5F">
        <w:t xml:space="preserve"> than 10% of Net Proceeds, the consent of</w:t>
      </w:r>
      <w:r w:rsidR="006F44E5">
        <w:t xml:space="preserve"> </w:t>
      </w:r>
      <w:r w:rsidR="00BA5F11">
        <w:t xml:space="preserve">each </w:t>
      </w:r>
      <w:r w:rsidRPr="00047D5F">
        <w:t>Creator is required, which will not be unreasonably withheld.</w:t>
      </w:r>
    </w:p>
    <w:p w14:paraId="3D0A945C" w14:textId="4E58492C" w:rsidR="00217EE8" w:rsidRPr="00047D5F" w:rsidRDefault="00D555A0">
      <w:pPr>
        <w:pStyle w:val="ListParagraph"/>
        <w:numPr>
          <w:ilvl w:val="1"/>
          <w:numId w:val="17"/>
        </w:numPr>
        <w:spacing w:after="240" w:line="240" w:lineRule="auto"/>
        <w:contextualSpacing w:val="0"/>
      </w:pPr>
      <w:r w:rsidRPr="00047D5F">
        <w:t xml:space="preserve">All Gross Revenues, Identifiable Costs, and Net Proceeds are in Canadian dollars and in the case of Net Proceeds, to be paid in Canadian dollars.  With respect to amounts in currency other than Canadian dollars, calculations required to ascertain the amounts in equivalent Canadian dollars shall be made using the </w:t>
      </w:r>
      <w:r w:rsidR="00605127">
        <w:t xml:space="preserve">exchange rate used by </w:t>
      </w:r>
      <w:r w:rsidR="008E2E43">
        <w:t>Financial Services</w:t>
      </w:r>
      <w:r w:rsidR="00605127">
        <w:t xml:space="preserve"> of Queen’s University</w:t>
      </w:r>
      <w:r w:rsidRPr="00047D5F">
        <w:t>.  Unrealized and realized foreign exchange gains and losses are not include</w:t>
      </w:r>
      <w:r w:rsidR="004B6E0C">
        <w:t>d</w:t>
      </w:r>
      <w:r w:rsidRPr="00047D5F">
        <w:t xml:space="preserve"> in Gross Revenues</w:t>
      </w:r>
      <w:r w:rsidR="006E673F">
        <w:t xml:space="preserve"> or Identifiable Costs.</w:t>
      </w:r>
    </w:p>
    <w:p w14:paraId="59EA507B" w14:textId="147C5E7A" w:rsidR="00EA0464" w:rsidRPr="00047D5F" w:rsidRDefault="00EA0464">
      <w:pPr>
        <w:pStyle w:val="ListParagraph"/>
        <w:numPr>
          <w:ilvl w:val="1"/>
          <w:numId w:val="17"/>
        </w:numPr>
        <w:spacing w:after="240" w:line="240" w:lineRule="auto"/>
        <w:contextualSpacing w:val="0"/>
      </w:pPr>
      <w:r w:rsidRPr="00047D5F">
        <w:t xml:space="preserve">Net Proceeds </w:t>
      </w:r>
      <w:r w:rsidR="004B6E0C">
        <w:t xml:space="preserve">are </w:t>
      </w:r>
      <w:r w:rsidRPr="00047D5F">
        <w:t xml:space="preserve">exclusive of taxes such as Goods and Services Tax, Provincial Sales Tax, Harmonized Sales Tax or any other tax </w:t>
      </w:r>
      <w:proofErr w:type="spellStart"/>
      <w:r w:rsidRPr="00047D5F">
        <w:t>exigible</w:t>
      </w:r>
      <w:proofErr w:type="spellEnd"/>
      <w:r w:rsidRPr="00047D5F">
        <w:t xml:space="preserve"> thereon. Creator will promptly notify </w:t>
      </w:r>
      <w:r w:rsidR="00B2019F" w:rsidRPr="00047D5F">
        <w:t xml:space="preserve">Queen’s </w:t>
      </w:r>
      <w:r w:rsidRPr="00047D5F">
        <w:t xml:space="preserve">should the share of Net Proceeds paid to Creator </w:t>
      </w:r>
      <w:r w:rsidR="00D41F7D" w:rsidRPr="00047D5F">
        <w:t xml:space="preserve">be </w:t>
      </w:r>
      <w:r w:rsidRPr="00047D5F">
        <w:t xml:space="preserve">subject </w:t>
      </w:r>
      <w:r w:rsidR="00D41F7D" w:rsidRPr="00047D5F">
        <w:t xml:space="preserve">to </w:t>
      </w:r>
      <w:r w:rsidRPr="00047D5F">
        <w:t>value-added taxation.  In the event a share of Net Proceeds is paid to a non-Canadian resident, Queen’s shall withhold, and remit to Receiver General of Canada on the non-Canadian resident Creator’s behalf, the statutory minimum withholding taxes.</w:t>
      </w:r>
    </w:p>
    <w:p w14:paraId="0D1E6E55" w14:textId="77777777" w:rsidR="003D067D" w:rsidRPr="00047D5F" w:rsidRDefault="003D067D">
      <w:pPr>
        <w:pStyle w:val="ListParagraph"/>
        <w:numPr>
          <w:ilvl w:val="1"/>
          <w:numId w:val="17"/>
        </w:numPr>
        <w:spacing w:after="240" w:line="240" w:lineRule="auto"/>
        <w:contextualSpacing w:val="0"/>
      </w:pPr>
      <w:r w:rsidRPr="00047D5F">
        <w:t>Distributed Net Proceeds will be characterized as royalty income for the purpose of reporting to Canada Revenue Agency.</w:t>
      </w:r>
      <w:r w:rsidR="00A31D55" w:rsidRPr="00047D5F">
        <w:t xml:space="preserve"> </w:t>
      </w:r>
    </w:p>
    <w:p w14:paraId="0E075A45" w14:textId="77777777" w:rsidR="00217EE8" w:rsidRPr="006E3CFB" w:rsidRDefault="008C392D" w:rsidP="00217EE8">
      <w:pPr>
        <w:pStyle w:val="ListParagraph"/>
        <w:numPr>
          <w:ilvl w:val="0"/>
          <w:numId w:val="17"/>
        </w:numPr>
        <w:spacing w:after="240" w:line="240" w:lineRule="auto"/>
        <w:contextualSpacing w:val="0"/>
        <w:rPr>
          <w:b/>
        </w:rPr>
      </w:pPr>
      <w:r w:rsidRPr="006E3CFB">
        <w:rPr>
          <w:b/>
        </w:rPr>
        <w:t>Disputes</w:t>
      </w:r>
    </w:p>
    <w:p w14:paraId="4B1ED139" w14:textId="75FE283E" w:rsidR="008C392D" w:rsidRPr="00047D5F" w:rsidRDefault="008C392D" w:rsidP="006E5BDC">
      <w:pPr>
        <w:pStyle w:val="ListParagraph"/>
        <w:numPr>
          <w:ilvl w:val="1"/>
          <w:numId w:val="17"/>
        </w:numPr>
        <w:spacing w:after="0" w:line="240" w:lineRule="auto"/>
        <w:contextualSpacing w:val="0"/>
      </w:pPr>
      <w:r w:rsidRPr="00047D5F">
        <w:t xml:space="preserve">Any dispute or difference between the parties hereto concerning questions of interpretation, fact, procedures, practices or standards relevant to this </w:t>
      </w:r>
      <w:r w:rsidR="00393CA9">
        <w:t>A</w:t>
      </w:r>
      <w:r w:rsidRPr="00047D5F">
        <w:t>greement which cannot be resolved or settled by the parties, shall be settled and determined by arbitration.  Any party may at any time give written notice to the other</w:t>
      </w:r>
      <w:r w:rsidR="008E2E43">
        <w:t>s</w:t>
      </w:r>
      <w:r w:rsidRPr="00047D5F">
        <w:t xml:space="preserve"> of its desire to submit such dispute to arbitration stating with reasonable particularity the subject matter of such dispute and indicating its desire for the parties to jointly appoint an arbitrator.  Within ten days after receipt of such notice, the parties shall appoint a single arbitrator with appropriate experience to determine such dispute.  If the parties fail to appoint an arbitrator within such ten day period, </w:t>
      </w:r>
      <w:r w:rsidR="008E2E43">
        <w:t>any</w:t>
      </w:r>
      <w:r w:rsidRPr="00047D5F">
        <w:t xml:space="preserve"> party may apply to a Judge of the Ontario </w:t>
      </w:r>
      <w:r w:rsidR="00DE5B7B">
        <w:t xml:space="preserve">Superior </w:t>
      </w:r>
      <w:r w:rsidRPr="00047D5F">
        <w:t xml:space="preserve">Court of Justice to appoint an arbitrator to determine such dispute. The arbitrator so appointed shall forthwith proceed to arbitrate the dispute.  The costs of the arbitration shall be divided equally </w:t>
      </w:r>
      <w:r w:rsidR="006F5C4C" w:rsidRPr="006F5C4C">
        <w:t xml:space="preserve">shall be divided equally between Queen’s on side and all Creators jointly and severally on the </w:t>
      </w:r>
      <w:r w:rsidR="006F5C4C">
        <w:t>other</w:t>
      </w:r>
      <w:r w:rsidR="00395079">
        <w:t>.</w:t>
      </w:r>
      <w:r w:rsidRPr="00047D5F">
        <w:t xml:space="preserve">  Despite anything to the contrary contained in the Arbitrations Act (Ontario), the award of the arbitrator shall be final and binding upon the </w:t>
      </w:r>
      <w:r w:rsidRPr="00047D5F">
        <w:lastRenderedPageBreak/>
        <w:t xml:space="preserve">parties and all persons claiming through or under them.  Judgement upon the award rendered by the arbitrator may be entered in any court having jurisdiction and thereupon execution or other legal process may issue thereon.  The parties hereto and all persons claiming through or under them hereby attorn to the jurisdiction of the arbitrator and to the jurisdiction of any court in which </w:t>
      </w:r>
      <w:r w:rsidR="00217EE8" w:rsidRPr="00047D5F">
        <w:t>the judgement may be entered.</w:t>
      </w:r>
    </w:p>
    <w:p w14:paraId="784D4E79" w14:textId="77777777" w:rsidR="008C392D" w:rsidRPr="00047D5F" w:rsidRDefault="008C392D" w:rsidP="00D719EF">
      <w:pPr>
        <w:spacing w:after="0" w:line="240" w:lineRule="auto"/>
      </w:pPr>
    </w:p>
    <w:p w14:paraId="48C85ED5" w14:textId="43EE64A8" w:rsidR="00217EE8" w:rsidRPr="006E3CFB" w:rsidRDefault="00DD0082" w:rsidP="00217EE8">
      <w:pPr>
        <w:pStyle w:val="ListParagraph"/>
        <w:numPr>
          <w:ilvl w:val="0"/>
          <w:numId w:val="17"/>
        </w:numPr>
        <w:spacing w:after="240" w:line="240" w:lineRule="auto"/>
        <w:contextualSpacing w:val="0"/>
        <w:rPr>
          <w:b/>
        </w:rPr>
      </w:pPr>
      <w:r w:rsidRPr="006E3CFB">
        <w:rPr>
          <w:b/>
        </w:rPr>
        <w:t xml:space="preserve">Limitation of </w:t>
      </w:r>
      <w:r w:rsidR="00A059EF" w:rsidRPr="006E3CFB">
        <w:rPr>
          <w:b/>
        </w:rPr>
        <w:t xml:space="preserve">Liability </w:t>
      </w:r>
    </w:p>
    <w:p w14:paraId="113963A1" w14:textId="76B5A0C0" w:rsidR="00DD0082" w:rsidRDefault="00DD0082" w:rsidP="00FF6377">
      <w:pPr>
        <w:pStyle w:val="ListParagraph"/>
        <w:numPr>
          <w:ilvl w:val="1"/>
          <w:numId w:val="17"/>
        </w:numPr>
      </w:pPr>
      <w:r>
        <w:t>The parties acknowledge that in no event will Queen’s be liable to any one or more of the other parties for any breach of contract or tort or otherwise arising from or in relation to this Agreement or the matters or activities dealt with herein in excess of $50,000 in the aggregate.</w:t>
      </w:r>
    </w:p>
    <w:p w14:paraId="7724A7D7" w14:textId="77777777" w:rsidR="00DD0082" w:rsidRDefault="00DD0082" w:rsidP="00DD0082">
      <w:pPr>
        <w:pStyle w:val="ListParagraph"/>
        <w:ind w:left="792"/>
      </w:pPr>
      <w:r>
        <w:t xml:space="preserve"> </w:t>
      </w:r>
    </w:p>
    <w:p w14:paraId="05680318" w14:textId="17E0D7E9" w:rsidR="00DD0082" w:rsidRDefault="00DD0082" w:rsidP="006E5BDC">
      <w:pPr>
        <w:pStyle w:val="ListParagraph"/>
        <w:numPr>
          <w:ilvl w:val="1"/>
          <w:numId w:val="17"/>
        </w:numPr>
        <w:spacing w:after="0"/>
        <w:contextualSpacing w:val="0"/>
      </w:pPr>
      <w:r>
        <w:t xml:space="preserve">Notwithstanding the foregoing, Queen’s shall not be liable to any other party </w:t>
      </w:r>
      <w:r w:rsidRPr="00DD0082">
        <w:t xml:space="preserve">for any loss of profits; loss of revenue; loss of contracts; or loss of opportunity (in each case, whether direct or indirect), or for any other indirect, </w:t>
      </w:r>
      <w:r>
        <w:t xml:space="preserve">punitive, exemplary, </w:t>
      </w:r>
      <w:r w:rsidRPr="00DD0082">
        <w:t>special or consequential losses</w:t>
      </w:r>
      <w:r>
        <w:t xml:space="preserve"> or damages</w:t>
      </w:r>
      <w:r w:rsidRPr="00DD0082">
        <w:t xml:space="preserve">, even if the </w:t>
      </w:r>
      <w:r>
        <w:t>p</w:t>
      </w:r>
      <w:r w:rsidRPr="00DD0082">
        <w:t xml:space="preserve">arty bringing the claim has advised </w:t>
      </w:r>
      <w:r>
        <w:t xml:space="preserve">Queen’s </w:t>
      </w:r>
      <w:r w:rsidRPr="00DD0082">
        <w:t xml:space="preserve">of the possibility of those losses, or even if they were within </w:t>
      </w:r>
      <w:r>
        <w:t xml:space="preserve">Queen’s </w:t>
      </w:r>
      <w:r w:rsidRPr="00DD0082">
        <w:t>contemplation.</w:t>
      </w:r>
    </w:p>
    <w:p w14:paraId="024B721C" w14:textId="77777777" w:rsidR="00DD0082" w:rsidRDefault="00DD0082" w:rsidP="006E5BDC">
      <w:pPr>
        <w:pStyle w:val="ListParagraph"/>
        <w:spacing w:after="0"/>
        <w:contextualSpacing w:val="0"/>
      </w:pPr>
    </w:p>
    <w:p w14:paraId="694721C1" w14:textId="79383EA6" w:rsidR="00FE4744" w:rsidRPr="006E3CFB" w:rsidRDefault="00C356F7">
      <w:pPr>
        <w:pStyle w:val="ListParagraph"/>
        <w:numPr>
          <w:ilvl w:val="0"/>
          <w:numId w:val="17"/>
        </w:numPr>
        <w:spacing w:after="240" w:line="240" w:lineRule="auto"/>
        <w:contextualSpacing w:val="0"/>
        <w:rPr>
          <w:b/>
        </w:rPr>
      </w:pPr>
      <w:r w:rsidRPr="006E3CFB">
        <w:rPr>
          <w:b/>
        </w:rPr>
        <w:t>R</w:t>
      </w:r>
      <w:r w:rsidR="0073480B" w:rsidRPr="006E3CFB">
        <w:rPr>
          <w:b/>
        </w:rPr>
        <w:t>epresentations and warrant</w:t>
      </w:r>
      <w:r w:rsidR="002068C3" w:rsidRPr="006E3CFB">
        <w:rPr>
          <w:b/>
        </w:rPr>
        <w:t>ie</w:t>
      </w:r>
      <w:r w:rsidR="0073480B" w:rsidRPr="006E3CFB">
        <w:rPr>
          <w:b/>
        </w:rPr>
        <w:t>s</w:t>
      </w:r>
    </w:p>
    <w:p w14:paraId="68E6DCA7" w14:textId="77777777" w:rsidR="009F5CD4" w:rsidRPr="00047D5F" w:rsidRDefault="00F400BB" w:rsidP="00FE4744">
      <w:pPr>
        <w:pStyle w:val="ListParagraph"/>
        <w:numPr>
          <w:ilvl w:val="1"/>
          <w:numId w:val="17"/>
        </w:numPr>
        <w:spacing w:after="240" w:line="240" w:lineRule="auto"/>
        <w:contextualSpacing w:val="0"/>
      </w:pPr>
      <w:r>
        <w:t xml:space="preserve">Each </w:t>
      </w:r>
      <w:r w:rsidR="009F5CD4" w:rsidRPr="00047D5F">
        <w:t>Creator represent</w:t>
      </w:r>
      <w:r w:rsidR="00C356F7" w:rsidRPr="00047D5F">
        <w:t>s</w:t>
      </w:r>
      <w:r w:rsidR="009F5CD4" w:rsidRPr="00047D5F">
        <w:t xml:space="preserve"> and warrant</w:t>
      </w:r>
      <w:r w:rsidR="00C356F7" w:rsidRPr="00047D5F">
        <w:t>s</w:t>
      </w:r>
      <w:r w:rsidR="009F5CD4" w:rsidRPr="00047D5F">
        <w:t xml:space="preserve"> that they: </w:t>
      </w:r>
    </w:p>
    <w:p w14:paraId="7BABCFF3" w14:textId="77777777" w:rsidR="009F5CD4" w:rsidRPr="00047D5F" w:rsidRDefault="009F5CD4" w:rsidP="00FE4744">
      <w:pPr>
        <w:pStyle w:val="ListParagraph"/>
        <w:numPr>
          <w:ilvl w:val="2"/>
          <w:numId w:val="29"/>
        </w:numPr>
        <w:spacing w:after="240" w:line="240" w:lineRule="auto"/>
        <w:contextualSpacing w:val="0"/>
      </w:pPr>
      <w:r w:rsidRPr="00047D5F">
        <w:t xml:space="preserve">have not collaborated with any other person to create the Intellectual Property and that there have not been any other contributors to the Intellectual Property, other than those disclosed in Schedule B; </w:t>
      </w:r>
    </w:p>
    <w:p w14:paraId="0955A2F4" w14:textId="77777777" w:rsidR="009F5CD4" w:rsidRPr="00047D5F" w:rsidRDefault="009F5CD4" w:rsidP="00FE4744">
      <w:pPr>
        <w:pStyle w:val="ListParagraph"/>
        <w:numPr>
          <w:ilvl w:val="2"/>
          <w:numId w:val="29"/>
        </w:numPr>
        <w:spacing w:after="240" w:line="240" w:lineRule="auto"/>
        <w:contextualSpacing w:val="0"/>
      </w:pPr>
      <w:r w:rsidRPr="00047D5F">
        <w:t>have not encumbered, licensed, assigned, or granted any rights in, the Intellectual Property, including rights granted to a third-party in a research contract with industry or a funding agency;</w:t>
      </w:r>
    </w:p>
    <w:p w14:paraId="35591FEA" w14:textId="77777777" w:rsidR="009F5CD4" w:rsidRPr="00047D5F" w:rsidRDefault="009F5CD4" w:rsidP="00FE4744">
      <w:pPr>
        <w:pStyle w:val="ListParagraph"/>
        <w:numPr>
          <w:ilvl w:val="2"/>
          <w:numId w:val="29"/>
        </w:numPr>
        <w:spacing w:after="240" w:line="240" w:lineRule="auto"/>
        <w:contextualSpacing w:val="0"/>
      </w:pPr>
      <w:r w:rsidRPr="00047D5F">
        <w:t xml:space="preserve">have not, except as already disclosed to Queen’s or as itemized on Schedule C, publicly disclosed the Intellectual Property; and </w:t>
      </w:r>
    </w:p>
    <w:p w14:paraId="372A3378" w14:textId="77777777" w:rsidR="009F5CD4" w:rsidRPr="00047D5F" w:rsidRDefault="009F5CD4" w:rsidP="00FE4744">
      <w:pPr>
        <w:pStyle w:val="ListParagraph"/>
        <w:numPr>
          <w:ilvl w:val="2"/>
          <w:numId w:val="29"/>
        </w:numPr>
        <w:spacing w:after="240" w:line="240" w:lineRule="auto"/>
        <w:contextualSpacing w:val="0"/>
      </w:pPr>
      <w:r w:rsidRPr="00047D5F">
        <w:t xml:space="preserve">do not have any obligation to provide any proceeds arising from commercialization of the Intellectual Property to any </w:t>
      </w:r>
      <w:r w:rsidR="00D6406E" w:rsidRPr="00047D5F">
        <w:t>third-party</w:t>
      </w:r>
      <w:r w:rsidRPr="00047D5F">
        <w:t xml:space="preserve">.  </w:t>
      </w:r>
    </w:p>
    <w:p w14:paraId="0D9F795D" w14:textId="28089408" w:rsidR="003240B2" w:rsidRDefault="009F5CD4" w:rsidP="004F442D">
      <w:pPr>
        <w:spacing w:after="240" w:line="240" w:lineRule="auto"/>
        <w:ind w:left="360"/>
      </w:pPr>
      <w:r w:rsidRPr="00047D5F">
        <w:t>In the event such representations and warranties are not correct, then Queen’s may, provided it acts fairly and reasonably, allocate a portion of Net Proceeds due to the Creator under Article 4 to any other person to remedy</w:t>
      </w:r>
      <w:r w:rsidR="00FE4744" w:rsidRPr="00047D5F">
        <w:t xml:space="preserve"> or rectify this misstatement.</w:t>
      </w:r>
    </w:p>
    <w:p w14:paraId="4B08280C" w14:textId="77777777" w:rsidR="00FE4744" w:rsidRPr="006E3CFB" w:rsidRDefault="00A059EF" w:rsidP="00FE4744">
      <w:pPr>
        <w:pStyle w:val="ListParagraph"/>
        <w:numPr>
          <w:ilvl w:val="0"/>
          <w:numId w:val="17"/>
        </w:numPr>
        <w:spacing w:after="240" w:line="240" w:lineRule="auto"/>
        <w:contextualSpacing w:val="0"/>
        <w:rPr>
          <w:b/>
        </w:rPr>
      </w:pPr>
      <w:r w:rsidRPr="006E3CFB">
        <w:rPr>
          <w:b/>
        </w:rPr>
        <w:t>Termination</w:t>
      </w:r>
    </w:p>
    <w:p w14:paraId="12F52489" w14:textId="65C8853D" w:rsidR="006569DB" w:rsidRPr="00047D5F" w:rsidRDefault="00A059EF" w:rsidP="00FE4744">
      <w:pPr>
        <w:pStyle w:val="ListParagraph"/>
        <w:numPr>
          <w:ilvl w:val="1"/>
          <w:numId w:val="17"/>
        </w:numPr>
        <w:spacing w:after="240" w:line="240" w:lineRule="auto"/>
        <w:contextualSpacing w:val="0"/>
      </w:pPr>
      <w:r w:rsidRPr="00047D5F">
        <w:t xml:space="preserve">Prior to Queen’s, or any corporation or other entity in which Queen’s has an interest, entering into an agreement with a third party relating to the commercialization of the Intellectual Property, the Creator may terminate this </w:t>
      </w:r>
      <w:r w:rsidR="004B6E0C">
        <w:t>A</w:t>
      </w:r>
      <w:r w:rsidRPr="00047D5F">
        <w:t>greement upon written notice</w:t>
      </w:r>
      <w:r w:rsidR="006569DB" w:rsidRPr="00047D5F">
        <w:t>:</w:t>
      </w:r>
    </w:p>
    <w:p w14:paraId="61875CE1" w14:textId="77777777" w:rsidR="006569DB" w:rsidRPr="00047D5F" w:rsidRDefault="00A059EF" w:rsidP="00A53165">
      <w:pPr>
        <w:pStyle w:val="ListParagraph"/>
        <w:numPr>
          <w:ilvl w:val="2"/>
          <w:numId w:val="17"/>
        </w:numPr>
        <w:spacing w:after="240" w:line="240" w:lineRule="auto"/>
        <w:contextualSpacing w:val="0"/>
      </w:pPr>
      <w:r w:rsidRPr="00047D5F">
        <w:t xml:space="preserve"> if Queen’s has failed to </w:t>
      </w:r>
      <w:r w:rsidR="00CC6120" w:rsidRPr="00047D5F">
        <w:t xml:space="preserve">bring </w:t>
      </w:r>
      <w:r w:rsidRPr="00047D5F">
        <w:t xml:space="preserve">appropriate skills and effort </w:t>
      </w:r>
      <w:r w:rsidR="00CC6120" w:rsidRPr="00047D5F">
        <w:t xml:space="preserve">to bear on the </w:t>
      </w:r>
      <w:r w:rsidRPr="00047D5F">
        <w:t>exploitation of the Intellectual Property over time</w:t>
      </w:r>
      <w:r w:rsidR="006569DB" w:rsidRPr="00047D5F">
        <w:t>;</w:t>
      </w:r>
      <w:r w:rsidRPr="00047D5F">
        <w:t xml:space="preserve"> or </w:t>
      </w:r>
    </w:p>
    <w:p w14:paraId="21031E06" w14:textId="3D59C160" w:rsidR="00FE4744" w:rsidRPr="00047D5F" w:rsidRDefault="00E30EF0" w:rsidP="00A53165">
      <w:pPr>
        <w:pStyle w:val="ListParagraph"/>
        <w:numPr>
          <w:ilvl w:val="2"/>
          <w:numId w:val="17"/>
        </w:numPr>
        <w:spacing w:after="240" w:line="240" w:lineRule="auto"/>
        <w:contextualSpacing w:val="0"/>
      </w:pPr>
      <w:r>
        <w:lastRenderedPageBreak/>
        <w:t xml:space="preserve"> </w:t>
      </w:r>
      <w:r w:rsidR="00A059EF" w:rsidRPr="00047D5F">
        <w:t xml:space="preserve">if the Creator determines that the exploitation of the Intellectual Property is </w:t>
      </w:r>
      <w:r w:rsidR="00CC6120" w:rsidRPr="00047D5F">
        <w:t xml:space="preserve">substantially </w:t>
      </w:r>
      <w:r w:rsidR="00A059EF" w:rsidRPr="00047D5F">
        <w:t xml:space="preserve">interfering with </w:t>
      </w:r>
      <w:r w:rsidR="00C356F7" w:rsidRPr="00047D5F">
        <w:t>such Creator’s</w:t>
      </w:r>
      <w:r w:rsidR="00A059EF" w:rsidRPr="00047D5F">
        <w:t xml:space="preserve"> ability to pursue scholarly research</w:t>
      </w:r>
      <w:r w:rsidR="006569DB" w:rsidRPr="00047D5F">
        <w:t xml:space="preserve"> and </w:t>
      </w:r>
      <w:r w:rsidR="00C356F7" w:rsidRPr="00047D5F">
        <w:t>such Creator</w:t>
      </w:r>
      <w:r w:rsidR="006569DB" w:rsidRPr="00047D5F">
        <w:t xml:space="preserve"> agrees not to </w:t>
      </w:r>
      <w:r w:rsidR="00C356F7" w:rsidRPr="00047D5F">
        <w:t xml:space="preserve">subsequently </w:t>
      </w:r>
      <w:r w:rsidR="006569DB" w:rsidRPr="00047D5F">
        <w:t>seek to exploit the Intellectual Property for commercial purposes</w:t>
      </w:r>
      <w:r w:rsidR="00A059EF" w:rsidRPr="00047D5F">
        <w:t>.</w:t>
      </w:r>
    </w:p>
    <w:p w14:paraId="0FA39071" w14:textId="54C38266" w:rsidR="00FE4744" w:rsidRPr="00047D5F" w:rsidRDefault="00A059EF" w:rsidP="00FE4744">
      <w:pPr>
        <w:pStyle w:val="ListParagraph"/>
        <w:numPr>
          <w:ilvl w:val="1"/>
          <w:numId w:val="17"/>
        </w:numPr>
        <w:spacing w:after="240" w:line="240" w:lineRule="auto"/>
        <w:contextualSpacing w:val="0"/>
      </w:pPr>
      <w:r w:rsidRPr="00047D5F">
        <w:t>Creator shall have 7</w:t>
      </w:r>
      <w:r w:rsidR="004B6E0C">
        <w:t xml:space="preserve"> </w:t>
      </w:r>
      <w:r w:rsidR="00CC6120" w:rsidRPr="00047D5F">
        <w:t xml:space="preserve">calendar </w:t>
      </w:r>
      <w:r w:rsidRPr="00047D5F">
        <w:t>days to terminate this Agreement following receipt of the written Inventor</w:t>
      </w:r>
      <w:r w:rsidR="0043266F" w:rsidRPr="00047D5F">
        <w:t>ship</w:t>
      </w:r>
      <w:r w:rsidRPr="00047D5F">
        <w:t xml:space="preserve"> Investigation.</w:t>
      </w:r>
    </w:p>
    <w:p w14:paraId="10E904BD" w14:textId="254AE334" w:rsidR="00FE4744" w:rsidRPr="00047D5F" w:rsidRDefault="00A059EF" w:rsidP="006E5BDC">
      <w:pPr>
        <w:pStyle w:val="ListParagraph"/>
        <w:numPr>
          <w:ilvl w:val="1"/>
          <w:numId w:val="17"/>
        </w:numPr>
        <w:spacing w:after="0" w:line="240" w:lineRule="auto"/>
        <w:contextualSpacing w:val="0"/>
      </w:pPr>
      <w:r w:rsidRPr="00047D5F">
        <w:t>Queen’s shall have the right to terminate this Agreement by providing 30</w:t>
      </w:r>
      <w:r w:rsidR="004B6E0C">
        <w:t xml:space="preserve"> </w:t>
      </w:r>
      <w:r w:rsidR="00C356F7" w:rsidRPr="00047D5F">
        <w:t xml:space="preserve">calendar </w:t>
      </w:r>
      <w:r w:rsidRPr="00047D5F">
        <w:t>days advanced written notice to Creator</w:t>
      </w:r>
      <w:r w:rsidR="00D6406E" w:rsidRPr="00047D5F">
        <w:t>(</w:t>
      </w:r>
      <w:r w:rsidRPr="00047D5F">
        <w:t>s</w:t>
      </w:r>
      <w:r w:rsidR="00D6406E" w:rsidRPr="00047D5F">
        <w:t>)</w:t>
      </w:r>
      <w:r w:rsidRPr="00047D5F">
        <w:t>.</w:t>
      </w:r>
    </w:p>
    <w:p w14:paraId="5667774A" w14:textId="77777777" w:rsidR="00FE4744" w:rsidRPr="00047D5F" w:rsidRDefault="00FE4744" w:rsidP="00FE4744">
      <w:pPr>
        <w:widowControl w:val="0"/>
        <w:spacing w:after="0" w:line="240" w:lineRule="auto"/>
      </w:pPr>
    </w:p>
    <w:p w14:paraId="5A58274D" w14:textId="77777777" w:rsidR="00FE4744" w:rsidRPr="006E3CFB" w:rsidRDefault="00A059EF" w:rsidP="00FE4744">
      <w:pPr>
        <w:pStyle w:val="ListParagraph"/>
        <w:numPr>
          <w:ilvl w:val="0"/>
          <w:numId w:val="17"/>
        </w:numPr>
        <w:spacing w:after="240" w:line="240" w:lineRule="auto"/>
        <w:contextualSpacing w:val="0"/>
        <w:rPr>
          <w:b/>
        </w:rPr>
      </w:pPr>
      <w:r w:rsidRPr="006E3CFB">
        <w:rPr>
          <w:b/>
        </w:rPr>
        <w:t>General Provisions</w:t>
      </w:r>
      <w:bookmarkStart w:id="1" w:name="OLE_LINK1"/>
      <w:bookmarkStart w:id="2" w:name="OLE_LINK2"/>
    </w:p>
    <w:p w14:paraId="02E89183" w14:textId="77777777" w:rsidR="00FE4744" w:rsidRPr="00047D5F" w:rsidRDefault="004F442D" w:rsidP="00FE4744">
      <w:pPr>
        <w:pStyle w:val="ListParagraph"/>
        <w:numPr>
          <w:ilvl w:val="1"/>
          <w:numId w:val="17"/>
        </w:numPr>
        <w:spacing w:after="240" w:line="240" w:lineRule="auto"/>
        <w:contextualSpacing w:val="0"/>
      </w:pPr>
      <w:r w:rsidRPr="00047D5F">
        <w:rPr>
          <w:i/>
        </w:rPr>
        <w:t>Binding Agreement</w:t>
      </w:r>
      <w:r w:rsidRPr="00047D5F">
        <w:t xml:space="preserve"> - </w:t>
      </w:r>
      <w:r w:rsidR="007D30EB" w:rsidRPr="00047D5F">
        <w:t xml:space="preserve">This Agreement shall </w:t>
      </w:r>
      <w:proofErr w:type="spellStart"/>
      <w:r w:rsidR="007D30EB" w:rsidRPr="00047D5F">
        <w:t>enure</w:t>
      </w:r>
      <w:proofErr w:type="spellEnd"/>
      <w:r w:rsidR="007D30EB" w:rsidRPr="00047D5F">
        <w:t xml:space="preserve"> to the benefit of and be binding upon the parties hereto and their </w:t>
      </w:r>
      <w:r w:rsidR="007D30EB" w:rsidRPr="006F5C4C">
        <w:t>respective heirs</w:t>
      </w:r>
      <w:r w:rsidR="007D30EB" w:rsidRPr="00047D5F">
        <w:t>, executors, personal legal representatives, successors and permitted assigns.</w:t>
      </w:r>
    </w:p>
    <w:p w14:paraId="2F230E94" w14:textId="6CCEAFDC" w:rsidR="00FE4744" w:rsidRPr="00047D5F" w:rsidRDefault="00A059EF" w:rsidP="00FE4744">
      <w:pPr>
        <w:pStyle w:val="ListParagraph"/>
        <w:numPr>
          <w:ilvl w:val="1"/>
          <w:numId w:val="17"/>
        </w:numPr>
        <w:spacing w:after="240" w:line="240" w:lineRule="auto"/>
        <w:contextualSpacing w:val="0"/>
      </w:pPr>
      <w:r w:rsidRPr="00047D5F">
        <w:rPr>
          <w:i/>
        </w:rPr>
        <w:t>Entire Agreement</w:t>
      </w:r>
      <w:r w:rsidRPr="00047D5F">
        <w:t xml:space="preserve"> ‐ This </w:t>
      </w:r>
      <w:r w:rsidR="002068C3">
        <w:t>A</w:t>
      </w:r>
      <w:r w:rsidRPr="00047D5F">
        <w:t>greement including all attach</w:t>
      </w:r>
      <w:r w:rsidR="00C76095" w:rsidRPr="00047D5F">
        <w:t xml:space="preserve">ed appendices, which are hereby </w:t>
      </w:r>
      <w:r w:rsidRPr="00047D5F">
        <w:t>incorporated by reference, constitute the entire agreement betw</w:t>
      </w:r>
      <w:r w:rsidR="00C76095" w:rsidRPr="00047D5F">
        <w:t xml:space="preserve">een the parties with respect to </w:t>
      </w:r>
      <w:r w:rsidRPr="00047D5F">
        <w:t xml:space="preserve">this subject matter. Any amendment or modification to this </w:t>
      </w:r>
      <w:r w:rsidR="002068C3">
        <w:t>A</w:t>
      </w:r>
      <w:r w:rsidRPr="00047D5F">
        <w:t>g</w:t>
      </w:r>
      <w:r w:rsidR="00C76095" w:rsidRPr="00047D5F">
        <w:t xml:space="preserve">reement or its appendices shall </w:t>
      </w:r>
      <w:r w:rsidRPr="00047D5F">
        <w:t>not be effective unless it is in writing and signed by authorised representatives of each party.</w:t>
      </w:r>
    </w:p>
    <w:p w14:paraId="6EF32240" w14:textId="13F79067" w:rsidR="00FE4744" w:rsidRPr="00047D5F" w:rsidRDefault="00C76095" w:rsidP="00FE4744">
      <w:pPr>
        <w:pStyle w:val="ListParagraph"/>
        <w:numPr>
          <w:ilvl w:val="1"/>
          <w:numId w:val="17"/>
        </w:numPr>
        <w:spacing w:after="240" w:line="240" w:lineRule="auto"/>
        <w:contextualSpacing w:val="0"/>
      </w:pPr>
      <w:r w:rsidRPr="00047D5F">
        <w:rPr>
          <w:i/>
        </w:rPr>
        <w:t xml:space="preserve">Assignment </w:t>
      </w:r>
      <w:r w:rsidRPr="00047D5F">
        <w:t xml:space="preserve">‐ No right or obligation related to this </w:t>
      </w:r>
      <w:r w:rsidR="004B6E0C">
        <w:t>A</w:t>
      </w:r>
      <w:r w:rsidRPr="00047D5F">
        <w:t>greement shall be assigned by either party without the prior written permission of the other</w:t>
      </w:r>
    </w:p>
    <w:p w14:paraId="0075E3F8" w14:textId="77777777" w:rsidR="00FE4744" w:rsidRPr="00047D5F" w:rsidRDefault="00C76095" w:rsidP="00FE4744">
      <w:pPr>
        <w:pStyle w:val="ListParagraph"/>
        <w:numPr>
          <w:ilvl w:val="1"/>
          <w:numId w:val="17"/>
        </w:numPr>
        <w:spacing w:after="240" w:line="240" w:lineRule="auto"/>
        <w:contextualSpacing w:val="0"/>
      </w:pPr>
      <w:r w:rsidRPr="00047D5F">
        <w:rPr>
          <w:i/>
        </w:rPr>
        <w:t>Force Majeure</w:t>
      </w:r>
      <w:r w:rsidRPr="00047D5F">
        <w:t xml:space="preserve"> ‐ Neither party to this Agreement shall be liable to the other for any failure or delay in performance caused by circumstances beyond its reasonable control, including but not limited to, acts of God, fire, labour difficulties or governmental action.</w:t>
      </w:r>
    </w:p>
    <w:p w14:paraId="45B7582B" w14:textId="5E5D5383" w:rsidR="00FE4744" w:rsidRPr="00047D5F" w:rsidRDefault="00C76095" w:rsidP="00FE4744">
      <w:pPr>
        <w:pStyle w:val="ListParagraph"/>
        <w:numPr>
          <w:ilvl w:val="1"/>
          <w:numId w:val="17"/>
        </w:numPr>
        <w:spacing w:after="240" w:line="240" w:lineRule="auto"/>
        <w:contextualSpacing w:val="0"/>
      </w:pPr>
      <w:r w:rsidRPr="00047D5F">
        <w:rPr>
          <w:i/>
        </w:rPr>
        <w:t xml:space="preserve">Counterparts </w:t>
      </w:r>
      <w:r w:rsidRPr="00047D5F">
        <w:t xml:space="preserve">‐ This </w:t>
      </w:r>
      <w:r w:rsidR="00E30EF0">
        <w:t>A</w:t>
      </w:r>
      <w:r w:rsidRPr="00047D5F">
        <w:t xml:space="preserve">greement may be executed in any number of counterparts, each of which shall be deemed an original, but all of which together shall constitute one and the same instrument. For purposes of executing this </w:t>
      </w:r>
      <w:r w:rsidR="004B6E0C">
        <w:t>A</w:t>
      </w:r>
      <w:r w:rsidRPr="00047D5F">
        <w:t xml:space="preserve">greement, a facsimile (including a PDF delivered via email) copy of this </w:t>
      </w:r>
      <w:r w:rsidR="004B6E0C">
        <w:t>A</w:t>
      </w:r>
      <w:r w:rsidRPr="00047D5F">
        <w:t>greement, including the signature pages, will be deemed an original.</w:t>
      </w:r>
    </w:p>
    <w:p w14:paraId="25BE3082" w14:textId="2E0418BC" w:rsidR="00FE4744" w:rsidRDefault="0089717D" w:rsidP="00FE4744">
      <w:pPr>
        <w:pStyle w:val="ListParagraph"/>
        <w:numPr>
          <w:ilvl w:val="1"/>
          <w:numId w:val="17"/>
        </w:numPr>
        <w:spacing w:after="240" w:line="240" w:lineRule="auto"/>
        <w:contextualSpacing w:val="0"/>
      </w:pPr>
      <w:r w:rsidRPr="00047D5F">
        <w:rPr>
          <w:i/>
        </w:rPr>
        <w:t>Applicable Law</w:t>
      </w:r>
      <w:r w:rsidRPr="00047D5F">
        <w:t xml:space="preserve"> - </w:t>
      </w:r>
      <w:r w:rsidR="007D30EB" w:rsidRPr="00047D5F">
        <w:t>This Agreement shall be governed under the laws of the Province of Ontario and Federal laws applicable therein.  The parties attorn to jurisdiction and venue of the Courts of Ontario in respect of any matter relating to this Agreement.</w:t>
      </w:r>
    </w:p>
    <w:p w14:paraId="6E359D17" w14:textId="77777777" w:rsidR="003240B2" w:rsidRPr="00047D5F" w:rsidRDefault="003240B2" w:rsidP="006E5BDC">
      <w:pPr>
        <w:pStyle w:val="ListParagraph"/>
        <w:spacing w:after="240" w:line="240" w:lineRule="auto"/>
        <w:ind w:left="792"/>
        <w:contextualSpacing w:val="0"/>
      </w:pPr>
    </w:p>
    <w:p w14:paraId="7F84C2DF" w14:textId="60E9ECF2" w:rsidR="007D30EB" w:rsidRPr="00047D5F" w:rsidRDefault="007D30EB" w:rsidP="0089717D">
      <w:pPr>
        <w:widowControl w:val="0"/>
        <w:spacing w:after="0" w:line="240" w:lineRule="auto"/>
        <w:jc w:val="center"/>
      </w:pPr>
      <w:r w:rsidRPr="00047D5F">
        <w:t>[balance of page intentionally blank]</w:t>
      </w:r>
    </w:p>
    <w:p w14:paraId="3781FD08" w14:textId="10D4F047" w:rsidR="003240B2" w:rsidRDefault="003240B2"/>
    <w:p w14:paraId="54129B80" w14:textId="68E450D1" w:rsidR="003240B2" w:rsidRDefault="003240B2"/>
    <w:p w14:paraId="19FD6188" w14:textId="28935EB2" w:rsidR="003240B2" w:rsidRDefault="003240B2"/>
    <w:p w14:paraId="38A4A6A9" w14:textId="1F9A6CA0" w:rsidR="003240B2" w:rsidRDefault="003240B2"/>
    <w:p w14:paraId="0245F7B1" w14:textId="513BF24E" w:rsidR="003240B2" w:rsidRDefault="003240B2"/>
    <w:p w14:paraId="28247440" w14:textId="77777777" w:rsidR="007D30EB" w:rsidRPr="006E3CFB" w:rsidRDefault="00780B08" w:rsidP="007D30EB">
      <w:pPr>
        <w:widowControl w:val="0"/>
        <w:spacing w:after="0" w:line="240" w:lineRule="auto"/>
        <w:rPr>
          <w:b/>
        </w:rPr>
      </w:pPr>
      <w:r w:rsidRPr="006E3CFB">
        <w:rPr>
          <w:b/>
        </w:rPr>
        <w:lastRenderedPageBreak/>
        <w:t>AGREED by the parties</w:t>
      </w:r>
    </w:p>
    <w:p w14:paraId="198C7C11" w14:textId="77777777" w:rsidR="00780B08" w:rsidRDefault="00780B08" w:rsidP="007D30EB">
      <w:pPr>
        <w:widowControl w:val="0"/>
        <w:spacing w:after="0" w:line="240" w:lineRule="auto"/>
      </w:pPr>
    </w:p>
    <w:p w14:paraId="3D805039" w14:textId="77777777" w:rsidR="00BA5F11" w:rsidRPr="00047D5F" w:rsidRDefault="00BA5F11" w:rsidP="00BA5F11">
      <w:pPr>
        <w:widowControl w:val="0"/>
        <w:spacing w:after="0" w:line="240" w:lineRule="auto"/>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77"/>
        <w:gridCol w:w="3136"/>
        <w:gridCol w:w="357"/>
        <w:gridCol w:w="2070"/>
      </w:tblGrid>
      <w:tr w:rsidR="00BA5F11" w:rsidRPr="002940F1" w14:paraId="741D67AE" w14:textId="77777777" w:rsidTr="004D4AC8">
        <w:trPr>
          <w:jc w:val="center"/>
        </w:trPr>
        <w:tc>
          <w:tcPr>
            <w:tcW w:w="1277" w:type="dxa"/>
          </w:tcPr>
          <w:p w14:paraId="7E926F73" w14:textId="12477746" w:rsidR="00BA5F11" w:rsidRPr="00047D5F" w:rsidRDefault="00BA5F11" w:rsidP="004D4AC8">
            <w:pPr>
              <w:widowControl w:val="0"/>
            </w:pPr>
            <w:r w:rsidRPr="00047D5F">
              <w:t>Queen’s:</w:t>
            </w:r>
          </w:p>
        </w:tc>
        <w:tc>
          <w:tcPr>
            <w:tcW w:w="3136" w:type="dxa"/>
          </w:tcPr>
          <w:p w14:paraId="52CA7953" w14:textId="77777777" w:rsidR="00BA5F11" w:rsidRPr="00047D5F" w:rsidRDefault="00BA5F11" w:rsidP="004D4AC8">
            <w:pPr>
              <w:widowControl w:val="0"/>
              <w:tabs>
                <w:tab w:val="left" w:pos="412"/>
              </w:tabs>
            </w:pPr>
            <w:r w:rsidRPr="00047D5F">
              <w:tab/>
            </w:r>
          </w:p>
        </w:tc>
        <w:tc>
          <w:tcPr>
            <w:tcW w:w="357" w:type="dxa"/>
            <w:tcBorders>
              <w:top w:val="nil"/>
              <w:bottom w:val="nil"/>
            </w:tcBorders>
          </w:tcPr>
          <w:p w14:paraId="3C9D4A62" w14:textId="77777777" w:rsidR="00BA5F11" w:rsidRPr="00047D5F" w:rsidRDefault="00BA5F11" w:rsidP="004D4AC8">
            <w:pPr>
              <w:widowControl w:val="0"/>
            </w:pPr>
          </w:p>
        </w:tc>
        <w:tc>
          <w:tcPr>
            <w:tcW w:w="2070" w:type="dxa"/>
          </w:tcPr>
          <w:p w14:paraId="793B5449" w14:textId="77777777" w:rsidR="00BA5F11" w:rsidRPr="00047D5F" w:rsidRDefault="00BA5F11" w:rsidP="004D4AC8">
            <w:pPr>
              <w:widowControl w:val="0"/>
            </w:pPr>
          </w:p>
        </w:tc>
      </w:tr>
      <w:tr w:rsidR="00BA5F11" w:rsidRPr="006F5C4C" w14:paraId="21828E21" w14:textId="77777777" w:rsidTr="004D4AC8">
        <w:trPr>
          <w:jc w:val="center"/>
        </w:trPr>
        <w:tc>
          <w:tcPr>
            <w:tcW w:w="1277" w:type="dxa"/>
          </w:tcPr>
          <w:p w14:paraId="271F8575" w14:textId="77777777" w:rsidR="00BA5F11" w:rsidRPr="00047D5F" w:rsidRDefault="00BA5F11" w:rsidP="004D4AC8">
            <w:pPr>
              <w:widowControl w:val="0"/>
            </w:pPr>
          </w:p>
        </w:tc>
        <w:tc>
          <w:tcPr>
            <w:tcW w:w="3136" w:type="dxa"/>
          </w:tcPr>
          <w:p w14:paraId="7F4FAE18" w14:textId="77777777" w:rsidR="00BA5F11" w:rsidRPr="006F5C4C" w:rsidRDefault="00BA5F11" w:rsidP="004D4AC8">
            <w:pPr>
              <w:widowControl w:val="0"/>
              <w:jc w:val="center"/>
            </w:pPr>
            <w:r w:rsidRPr="006F5C4C">
              <w:t>[Name]</w:t>
            </w:r>
          </w:p>
        </w:tc>
        <w:tc>
          <w:tcPr>
            <w:tcW w:w="357" w:type="dxa"/>
            <w:tcBorders>
              <w:top w:val="nil"/>
              <w:bottom w:val="nil"/>
            </w:tcBorders>
          </w:tcPr>
          <w:p w14:paraId="2ED6D1B2" w14:textId="77777777" w:rsidR="00BA5F11" w:rsidRPr="006F5C4C" w:rsidRDefault="00BA5F11" w:rsidP="004D4AC8">
            <w:pPr>
              <w:widowControl w:val="0"/>
              <w:jc w:val="center"/>
            </w:pPr>
          </w:p>
        </w:tc>
        <w:tc>
          <w:tcPr>
            <w:tcW w:w="2070" w:type="dxa"/>
          </w:tcPr>
          <w:p w14:paraId="023760A0" w14:textId="77777777" w:rsidR="00BA5F11" w:rsidRPr="006F5C4C" w:rsidRDefault="00BA5F11" w:rsidP="004D4AC8">
            <w:pPr>
              <w:widowControl w:val="0"/>
              <w:jc w:val="center"/>
            </w:pPr>
            <w:r w:rsidRPr="006F5C4C">
              <w:t>[Date]</w:t>
            </w:r>
          </w:p>
        </w:tc>
      </w:tr>
    </w:tbl>
    <w:p w14:paraId="28933DB7" w14:textId="77777777" w:rsidR="00BA5F11" w:rsidRPr="006F5C4C" w:rsidRDefault="00BA5F11" w:rsidP="007D30EB">
      <w:pPr>
        <w:widowControl w:val="0"/>
        <w:spacing w:after="0" w:line="240" w:lineRule="auto"/>
      </w:pPr>
    </w:p>
    <w:p w14:paraId="33B36907" w14:textId="77777777" w:rsidR="00BA5F11" w:rsidRPr="006F5C4C" w:rsidRDefault="00BA5F11" w:rsidP="007D30EB">
      <w:pPr>
        <w:widowControl w:val="0"/>
        <w:spacing w:after="0" w:line="240" w:lineRule="auto"/>
      </w:pPr>
    </w:p>
    <w:p w14:paraId="04D0F954" w14:textId="77777777" w:rsidR="00BA5F11" w:rsidRPr="006F5C4C" w:rsidRDefault="00BA5F11" w:rsidP="007D30EB">
      <w:pPr>
        <w:widowControl w:val="0"/>
        <w:spacing w:after="0" w:line="240" w:lineRule="auto"/>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77"/>
        <w:gridCol w:w="3136"/>
        <w:gridCol w:w="357"/>
        <w:gridCol w:w="2070"/>
      </w:tblGrid>
      <w:tr w:rsidR="00780B08" w:rsidRPr="006F5C4C" w14:paraId="4D967A47" w14:textId="77777777" w:rsidTr="00BE2645">
        <w:trPr>
          <w:jc w:val="center"/>
        </w:trPr>
        <w:tc>
          <w:tcPr>
            <w:tcW w:w="1277" w:type="dxa"/>
          </w:tcPr>
          <w:p w14:paraId="5FF9BF70" w14:textId="77777777" w:rsidR="00780B08" w:rsidRPr="006F5C4C" w:rsidRDefault="00780B08" w:rsidP="007D30EB">
            <w:pPr>
              <w:widowControl w:val="0"/>
            </w:pPr>
            <w:r w:rsidRPr="006F5C4C">
              <w:t>Creator:</w:t>
            </w:r>
          </w:p>
        </w:tc>
        <w:tc>
          <w:tcPr>
            <w:tcW w:w="3136" w:type="dxa"/>
          </w:tcPr>
          <w:p w14:paraId="0B32272C" w14:textId="77777777" w:rsidR="00780B08" w:rsidRPr="006F5C4C" w:rsidRDefault="00BE2645" w:rsidP="00BE2645">
            <w:pPr>
              <w:widowControl w:val="0"/>
              <w:tabs>
                <w:tab w:val="left" w:pos="412"/>
              </w:tabs>
            </w:pPr>
            <w:r w:rsidRPr="006F5C4C">
              <w:tab/>
            </w:r>
          </w:p>
        </w:tc>
        <w:tc>
          <w:tcPr>
            <w:tcW w:w="357" w:type="dxa"/>
            <w:tcBorders>
              <w:top w:val="nil"/>
              <w:bottom w:val="nil"/>
            </w:tcBorders>
          </w:tcPr>
          <w:p w14:paraId="1E1583A6" w14:textId="77777777" w:rsidR="00780B08" w:rsidRPr="006F5C4C" w:rsidRDefault="00780B08" w:rsidP="007D30EB">
            <w:pPr>
              <w:widowControl w:val="0"/>
            </w:pPr>
          </w:p>
        </w:tc>
        <w:tc>
          <w:tcPr>
            <w:tcW w:w="2070" w:type="dxa"/>
          </w:tcPr>
          <w:p w14:paraId="3A6847C7" w14:textId="77777777" w:rsidR="00780B08" w:rsidRPr="006F5C4C" w:rsidRDefault="00780B08" w:rsidP="007D30EB">
            <w:pPr>
              <w:widowControl w:val="0"/>
            </w:pPr>
          </w:p>
        </w:tc>
      </w:tr>
      <w:tr w:rsidR="00780B08" w:rsidRPr="006F5C4C" w14:paraId="2D0DF14B" w14:textId="77777777" w:rsidTr="00BE2645">
        <w:trPr>
          <w:jc w:val="center"/>
        </w:trPr>
        <w:tc>
          <w:tcPr>
            <w:tcW w:w="1277" w:type="dxa"/>
          </w:tcPr>
          <w:p w14:paraId="20DDDF98" w14:textId="77777777" w:rsidR="00780B08" w:rsidRPr="006F5C4C" w:rsidRDefault="00780B08" w:rsidP="007D30EB">
            <w:pPr>
              <w:widowControl w:val="0"/>
            </w:pPr>
          </w:p>
        </w:tc>
        <w:tc>
          <w:tcPr>
            <w:tcW w:w="3136" w:type="dxa"/>
          </w:tcPr>
          <w:p w14:paraId="7AD78FF9" w14:textId="77777777" w:rsidR="00780B08" w:rsidRPr="006F5C4C" w:rsidRDefault="00780B08" w:rsidP="00780B08">
            <w:pPr>
              <w:widowControl w:val="0"/>
              <w:jc w:val="center"/>
            </w:pPr>
            <w:r w:rsidRPr="006F5C4C">
              <w:t>[Name]</w:t>
            </w:r>
          </w:p>
        </w:tc>
        <w:tc>
          <w:tcPr>
            <w:tcW w:w="357" w:type="dxa"/>
            <w:tcBorders>
              <w:top w:val="nil"/>
              <w:bottom w:val="nil"/>
            </w:tcBorders>
          </w:tcPr>
          <w:p w14:paraId="3ABB47C8" w14:textId="77777777" w:rsidR="00780B08" w:rsidRPr="006F5C4C" w:rsidRDefault="00780B08" w:rsidP="00780B08">
            <w:pPr>
              <w:widowControl w:val="0"/>
              <w:jc w:val="center"/>
            </w:pPr>
          </w:p>
        </w:tc>
        <w:tc>
          <w:tcPr>
            <w:tcW w:w="2070" w:type="dxa"/>
          </w:tcPr>
          <w:p w14:paraId="3DBD951B" w14:textId="77777777" w:rsidR="00780B08" w:rsidRPr="006F5C4C" w:rsidRDefault="00780B08" w:rsidP="00780B08">
            <w:pPr>
              <w:widowControl w:val="0"/>
              <w:jc w:val="center"/>
            </w:pPr>
            <w:r w:rsidRPr="006F5C4C">
              <w:t>[Date]</w:t>
            </w:r>
          </w:p>
        </w:tc>
      </w:tr>
    </w:tbl>
    <w:p w14:paraId="0AEEA4D7" w14:textId="77777777" w:rsidR="00780B08" w:rsidRPr="006F5C4C" w:rsidRDefault="00780B08" w:rsidP="007D30EB">
      <w:pPr>
        <w:widowControl w:val="0"/>
        <w:spacing w:after="0" w:line="240" w:lineRule="auto"/>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77"/>
        <w:gridCol w:w="3136"/>
        <w:gridCol w:w="357"/>
        <w:gridCol w:w="2070"/>
      </w:tblGrid>
      <w:tr w:rsidR="00BE2645" w:rsidRPr="006F5C4C" w14:paraId="2FE4899B" w14:textId="77777777" w:rsidTr="007E5B49">
        <w:trPr>
          <w:jc w:val="center"/>
        </w:trPr>
        <w:tc>
          <w:tcPr>
            <w:tcW w:w="1277" w:type="dxa"/>
          </w:tcPr>
          <w:p w14:paraId="00367060" w14:textId="77777777" w:rsidR="00BE2645" w:rsidRPr="006F5C4C" w:rsidRDefault="00BE2645" w:rsidP="007E5B49">
            <w:pPr>
              <w:widowControl w:val="0"/>
            </w:pPr>
            <w:r w:rsidRPr="006F5C4C">
              <w:t>Creator:</w:t>
            </w:r>
          </w:p>
        </w:tc>
        <w:tc>
          <w:tcPr>
            <w:tcW w:w="3136" w:type="dxa"/>
          </w:tcPr>
          <w:p w14:paraId="4381C30E" w14:textId="77777777" w:rsidR="00BE2645" w:rsidRPr="006F5C4C" w:rsidRDefault="00BE2645" w:rsidP="007E5B49">
            <w:pPr>
              <w:widowControl w:val="0"/>
              <w:tabs>
                <w:tab w:val="left" w:pos="412"/>
              </w:tabs>
            </w:pPr>
            <w:r w:rsidRPr="006F5C4C">
              <w:tab/>
            </w:r>
          </w:p>
        </w:tc>
        <w:tc>
          <w:tcPr>
            <w:tcW w:w="357" w:type="dxa"/>
            <w:tcBorders>
              <w:top w:val="nil"/>
              <w:bottom w:val="nil"/>
            </w:tcBorders>
          </w:tcPr>
          <w:p w14:paraId="6424C20F" w14:textId="77777777" w:rsidR="00BE2645" w:rsidRPr="006F5C4C" w:rsidRDefault="00BE2645" w:rsidP="007E5B49">
            <w:pPr>
              <w:widowControl w:val="0"/>
            </w:pPr>
          </w:p>
        </w:tc>
        <w:tc>
          <w:tcPr>
            <w:tcW w:w="2070" w:type="dxa"/>
          </w:tcPr>
          <w:p w14:paraId="713596BB" w14:textId="77777777" w:rsidR="00BE2645" w:rsidRPr="006F5C4C" w:rsidRDefault="00BE2645" w:rsidP="007E5B49">
            <w:pPr>
              <w:widowControl w:val="0"/>
            </w:pPr>
          </w:p>
        </w:tc>
      </w:tr>
      <w:tr w:rsidR="00BE2645" w:rsidRPr="006F5C4C" w14:paraId="3973E55C" w14:textId="77777777" w:rsidTr="007E5B49">
        <w:trPr>
          <w:jc w:val="center"/>
        </w:trPr>
        <w:tc>
          <w:tcPr>
            <w:tcW w:w="1277" w:type="dxa"/>
          </w:tcPr>
          <w:p w14:paraId="6D7FDAF2" w14:textId="77777777" w:rsidR="00BE2645" w:rsidRPr="006F5C4C" w:rsidRDefault="00BE2645" w:rsidP="007E5B49">
            <w:pPr>
              <w:widowControl w:val="0"/>
            </w:pPr>
          </w:p>
        </w:tc>
        <w:tc>
          <w:tcPr>
            <w:tcW w:w="3136" w:type="dxa"/>
          </w:tcPr>
          <w:p w14:paraId="5CFF555F" w14:textId="77777777" w:rsidR="00BE2645" w:rsidRPr="006F5C4C" w:rsidRDefault="00BE2645" w:rsidP="007E5B49">
            <w:pPr>
              <w:widowControl w:val="0"/>
              <w:jc w:val="center"/>
            </w:pPr>
            <w:r w:rsidRPr="006F5C4C">
              <w:t>[Name]</w:t>
            </w:r>
          </w:p>
        </w:tc>
        <w:tc>
          <w:tcPr>
            <w:tcW w:w="357" w:type="dxa"/>
            <w:tcBorders>
              <w:top w:val="nil"/>
              <w:bottom w:val="nil"/>
            </w:tcBorders>
          </w:tcPr>
          <w:p w14:paraId="4A7B073C" w14:textId="77777777" w:rsidR="00BE2645" w:rsidRPr="006F5C4C" w:rsidRDefault="00BE2645" w:rsidP="007E5B49">
            <w:pPr>
              <w:widowControl w:val="0"/>
              <w:jc w:val="center"/>
            </w:pPr>
          </w:p>
        </w:tc>
        <w:tc>
          <w:tcPr>
            <w:tcW w:w="2070" w:type="dxa"/>
          </w:tcPr>
          <w:p w14:paraId="6CD16DF3" w14:textId="77777777" w:rsidR="00BE2645" w:rsidRPr="006F5C4C" w:rsidRDefault="00BE2645" w:rsidP="007E5B49">
            <w:pPr>
              <w:widowControl w:val="0"/>
              <w:jc w:val="center"/>
            </w:pPr>
            <w:r w:rsidRPr="006F5C4C">
              <w:t>[Date]</w:t>
            </w:r>
          </w:p>
        </w:tc>
      </w:tr>
    </w:tbl>
    <w:p w14:paraId="2E32CB6C" w14:textId="77777777" w:rsidR="00BE2645" w:rsidRPr="006F5C4C" w:rsidRDefault="00BE2645" w:rsidP="007D30EB">
      <w:pPr>
        <w:widowControl w:val="0"/>
        <w:spacing w:after="0" w:line="240" w:lineRule="auto"/>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77"/>
        <w:gridCol w:w="3136"/>
        <w:gridCol w:w="357"/>
        <w:gridCol w:w="2070"/>
      </w:tblGrid>
      <w:tr w:rsidR="00BE2645" w:rsidRPr="006F5C4C" w14:paraId="4DFC1DD5" w14:textId="77777777" w:rsidTr="007E5B49">
        <w:trPr>
          <w:jc w:val="center"/>
        </w:trPr>
        <w:tc>
          <w:tcPr>
            <w:tcW w:w="1277" w:type="dxa"/>
          </w:tcPr>
          <w:p w14:paraId="6DB2AF45" w14:textId="5AB784A1" w:rsidR="00BE2645" w:rsidRPr="006F5C4C" w:rsidRDefault="00BE2645" w:rsidP="007E5B49">
            <w:pPr>
              <w:widowControl w:val="0"/>
            </w:pPr>
            <w:r w:rsidRPr="006F5C4C">
              <w:t>Creator:</w:t>
            </w:r>
          </w:p>
        </w:tc>
        <w:tc>
          <w:tcPr>
            <w:tcW w:w="3136" w:type="dxa"/>
          </w:tcPr>
          <w:p w14:paraId="7AFADD61" w14:textId="77777777" w:rsidR="00BE2645" w:rsidRPr="006F5C4C" w:rsidRDefault="00BE2645" w:rsidP="007E5B49">
            <w:pPr>
              <w:widowControl w:val="0"/>
              <w:tabs>
                <w:tab w:val="left" w:pos="412"/>
              </w:tabs>
            </w:pPr>
            <w:r w:rsidRPr="006F5C4C">
              <w:tab/>
            </w:r>
          </w:p>
        </w:tc>
        <w:tc>
          <w:tcPr>
            <w:tcW w:w="357" w:type="dxa"/>
            <w:tcBorders>
              <w:top w:val="nil"/>
              <w:bottom w:val="nil"/>
            </w:tcBorders>
          </w:tcPr>
          <w:p w14:paraId="050BC110" w14:textId="77777777" w:rsidR="00BE2645" w:rsidRPr="006F5C4C" w:rsidRDefault="00BE2645" w:rsidP="007E5B49">
            <w:pPr>
              <w:widowControl w:val="0"/>
            </w:pPr>
          </w:p>
        </w:tc>
        <w:tc>
          <w:tcPr>
            <w:tcW w:w="2070" w:type="dxa"/>
          </w:tcPr>
          <w:p w14:paraId="2EFA28CD" w14:textId="77777777" w:rsidR="00BE2645" w:rsidRPr="006F5C4C" w:rsidRDefault="00BE2645" w:rsidP="007E5B49">
            <w:pPr>
              <w:widowControl w:val="0"/>
            </w:pPr>
          </w:p>
        </w:tc>
      </w:tr>
      <w:tr w:rsidR="00BE2645" w:rsidRPr="002940F1" w14:paraId="303959AC" w14:textId="77777777" w:rsidTr="007E5B49">
        <w:trPr>
          <w:jc w:val="center"/>
        </w:trPr>
        <w:tc>
          <w:tcPr>
            <w:tcW w:w="1277" w:type="dxa"/>
          </w:tcPr>
          <w:p w14:paraId="5C115AA8" w14:textId="77777777" w:rsidR="00BE2645" w:rsidRPr="006F5C4C" w:rsidRDefault="00BE2645" w:rsidP="007E5B49">
            <w:pPr>
              <w:widowControl w:val="0"/>
            </w:pPr>
          </w:p>
        </w:tc>
        <w:tc>
          <w:tcPr>
            <w:tcW w:w="3136" w:type="dxa"/>
          </w:tcPr>
          <w:p w14:paraId="20CFB68D" w14:textId="77777777" w:rsidR="00BE2645" w:rsidRPr="006F5C4C" w:rsidRDefault="00BE2645" w:rsidP="007E5B49">
            <w:pPr>
              <w:widowControl w:val="0"/>
              <w:jc w:val="center"/>
            </w:pPr>
            <w:r w:rsidRPr="006F5C4C">
              <w:t>[Name]</w:t>
            </w:r>
          </w:p>
        </w:tc>
        <w:tc>
          <w:tcPr>
            <w:tcW w:w="357" w:type="dxa"/>
            <w:tcBorders>
              <w:top w:val="nil"/>
              <w:bottom w:val="nil"/>
            </w:tcBorders>
          </w:tcPr>
          <w:p w14:paraId="5B9AF8B1" w14:textId="77777777" w:rsidR="00BE2645" w:rsidRPr="006F5C4C" w:rsidRDefault="00BE2645" w:rsidP="007E5B49">
            <w:pPr>
              <w:widowControl w:val="0"/>
              <w:jc w:val="center"/>
            </w:pPr>
          </w:p>
        </w:tc>
        <w:tc>
          <w:tcPr>
            <w:tcW w:w="2070" w:type="dxa"/>
          </w:tcPr>
          <w:p w14:paraId="6343845A" w14:textId="77777777" w:rsidR="00BE2645" w:rsidRPr="00047D5F" w:rsidRDefault="00BE2645" w:rsidP="007E5B49">
            <w:pPr>
              <w:widowControl w:val="0"/>
              <w:jc w:val="center"/>
            </w:pPr>
            <w:r w:rsidRPr="006F5C4C">
              <w:t>[Date]</w:t>
            </w:r>
          </w:p>
        </w:tc>
      </w:tr>
    </w:tbl>
    <w:p w14:paraId="2331E152" w14:textId="77777777" w:rsidR="00BE2645" w:rsidRPr="00047D5F" w:rsidRDefault="00BE2645" w:rsidP="007D30EB">
      <w:pPr>
        <w:widowControl w:val="0"/>
        <w:spacing w:after="0" w:line="240" w:lineRule="auto"/>
      </w:pPr>
    </w:p>
    <w:p w14:paraId="4B9DC55B" w14:textId="258509E6" w:rsidR="00BE2645" w:rsidRPr="00047D5F" w:rsidRDefault="006F5C4C" w:rsidP="007D30EB">
      <w:pPr>
        <w:widowControl w:val="0"/>
        <w:spacing w:after="0" w:line="240" w:lineRule="auto"/>
      </w:pPr>
      <w:r>
        <w:tab/>
        <w:t>[Draft Note – Add signature blocks as necessary</w:t>
      </w:r>
    </w:p>
    <w:bookmarkEnd w:id="1"/>
    <w:bookmarkEnd w:id="2"/>
    <w:p w14:paraId="7EA9013B" w14:textId="77777777" w:rsidR="00260684" w:rsidRPr="00047D5F" w:rsidRDefault="00260684" w:rsidP="00414879">
      <w:pPr>
        <w:spacing w:after="0" w:line="240" w:lineRule="auto"/>
      </w:pPr>
    </w:p>
    <w:p w14:paraId="34A13815" w14:textId="77777777" w:rsidR="006111A0" w:rsidRPr="00047D5F" w:rsidRDefault="006111A0">
      <w:r w:rsidRPr="00047D5F">
        <w:br w:type="page"/>
      </w:r>
    </w:p>
    <w:p w14:paraId="27F15D04" w14:textId="77777777" w:rsidR="00780B08" w:rsidRPr="006E3CFB" w:rsidRDefault="006111A0" w:rsidP="006111A0">
      <w:pPr>
        <w:jc w:val="center"/>
        <w:rPr>
          <w:b/>
        </w:rPr>
      </w:pPr>
      <w:r w:rsidRPr="006E3CFB">
        <w:rPr>
          <w:b/>
        </w:rPr>
        <w:lastRenderedPageBreak/>
        <w:t>Schedule A – Intellectual Property Created</w:t>
      </w:r>
    </w:p>
    <w:p w14:paraId="718A1EB1" w14:textId="77777777" w:rsidR="006111A0" w:rsidRPr="00047D5F" w:rsidRDefault="006111A0" w:rsidP="006111A0">
      <w:pPr>
        <w:jc w:val="center"/>
      </w:pPr>
    </w:p>
    <w:p w14:paraId="5AC86E00" w14:textId="77777777" w:rsidR="006111A0" w:rsidRPr="00047D5F" w:rsidRDefault="006111A0" w:rsidP="006111A0">
      <w:r w:rsidRPr="00047D5F">
        <w:t>[</w:t>
      </w:r>
      <w:r w:rsidRPr="002F2420">
        <w:t>Placeholder</w:t>
      </w:r>
      <w:r w:rsidRPr="00047D5F">
        <w:t>]</w:t>
      </w:r>
    </w:p>
    <w:p w14:paraId="5630E006" w14:textId="77777777" w:rsidR="006111A0" w:rsidRPr="00047D5F" w:rsidRDefault="006111A0" w:rsidP="006111A0"/>
    <w:p w14:paraId="2C0F20D8" w14:textId="77777777" w:rsidR="006111A0" w:rsidRPr="00047D5F" w:rsidRDefault="006111A0">
      <w:r w:rsidRPr="00047D5F">
        <w:br w:type="page"/>
      </w:r>
    </w:p>
    <w:p w14:paraId="5B6BD010" w14:textId="27B3A4BF" w:rsidR="006111A0" w:rsidRPr="006E3CFB" w:rsidRDefault="006111A0" w:rsidP="006111A0">
      <w:pPr>
        <w:jc w:val="center"/>
        <w:rPr>
          <w:b/>
        </w:rPr>
      </w:pPr>
      <w:r w:rsidRPr="006E3CFB">
        <w:rPr>
          <w:b/>
        </w:rPr>
        <w:lastRenderedPageBreak/>
        <w:t xml:space="preserve">Schedule B – </w:t>
      </w:r>
      <w:r w:rsidR="003E02C3" w:rsidRPr="006E3CFB">
        <w:rPr>
          <w:b/>
        </w:rPr>
        <w:t>Contributors</w:t>
      </w:r>
    </w:p>
    <w:p w14:paraId="5219EE99" w14:textId="77777777" w:rsidR="00A2739B" w:rsidRPr="00047D5F" w:rsidRDefault="00A2739B" w:rsidP="00A2739B">
      <w:r w:rsidRPr="00047D5F">
        <w:t>[</w:t>
      </w:r>
      <w:r w:rsidRPr="002F2420">
        <w:t>Placeholder</w:t>
      </w:r>
      <w:r w:rsidRPr="00047D5F">
        <w:t>]</w:t>
      </w:r>
    </w:p>
    <w:p w14:paraId="47E335EE" w14:textId="77777777" w:rsidR="00A2739B" w:rsidRPr="00047D5F" w:rsidRDefault="00A2739B"/>
    <w:p w14:paraId="7298B6D6" w14:textId="77777777" w:rsidR="0046403D" w:rsidRPr="00047D5F" w:rsidRDefault="0046403D">
      <w:r w:rsidRPr="00047D5F">
        <w:br w:type="page"/>
      </w:r>
    </w:p>
    <w:p w14:paraId="67AB259A" w14:textId="77777777" w:rsidR="0046403D" w:rsidRPr="006E3CFB" w:rsidRDefault="0046403D" w:rsidP="0046403D">
      <w:pPr>
        <w:jc w:val="center"/>
        <w:rPr>
          <w:b/>
        </w:rPr>
      </w:pPr>
      <w:r w:rsidRPr="006E3CFB">
        <w:rPr>
          <w:b/>
        </w:rPr>
        <w:lastRenderedPageBreak/>
        <w:t>Schedule C – List of Public Disclosures</w:t>
      </w:r>
    </w:p>
    <w:p w14:paraId="2BCE7A82" w14:textId="77777777" w:rsidR="00A2739B" w:rsidRPr="00047D5F" w:rsidRDefault="00A2739B" w:rsidP="00A2739B">
      <w:r w:rsidRPr="00047D5F">
        <w:t>[</w:t>
      </w:r>
      <w:r w:rsidRPr="002F2420">
        <w:t>Placeholder</w:t>
      </w:r>
      <w:r w:rsidRPr="00047D5F">
        <w:t>]</w:t>
      </w:r>
    </w:p>
    <w:p w14:paraId="2B3EA6D8" w14:textId="77777777" w:rsidR="006111A0" w:rsidRPr="00047D5F" w:rsidRDefault="006111A0" w:rsidP="006111A0"/>
    <w:p w14:paraId="1D93693D" w14:textId="77777777" w:rsidR="00A2739B" w:rsidRPr="00047D5F" w:rsidRDefault="00A2739B" w:rsidP="006111A0"/>
    <w:sectPr w:rsidR="00A2739B" w:rsidRPr="00047D5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7BABE" w14:textId="77777777" w:rsidR="006566AB" w:rsidRDefault="006566AB" w:rsidP="00015F65">
      <w:pPr>
        <w:spacing w:after="0" w:line="240" w:lineRule="auto"/>
      </w:pPr>
      <w:r>
        <w:separator/>
      </w:r>
    </w:p>
  </w:endnote>
  <w:endnote w:type="continuationSeparator" w:id="0">
    <w:p w14:paraId="6153265B" w14:textId="77777777" w:rsidR="006566AB" w:rsidRDefault="006566AB" w:rsidP="00015F65">
      <w:pPr>
        <w:spacing w:after="0" w:line="240" w:lineRule="auto"/>
      </w:pPr>
      <w:r>
        <w:continuationSeparator/>
      </w:r>
    </w:p>
  </w:endnote>
  <w:endnote w:type="continuationNotice" w:id="1">
    <w:p w14:paraId="0CC905FC" w14:textId="77777777" w:rsidR="006566AB" w:rsidRDefault="006566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21883" w14:textId="77777777" w:rsidR="006566AB" w:rsidRDefault="006566AB" w:rsidP="00015F65">
      <w:pPr>
        <w:spacing w:after="0" w:line="240" w:lineRule="auto"/>
      </w:pPr>
      <w:r>
        <w:separator/>
      </w:r>
    </w:p>
  </w:footnote>
  <w:footnote w:type="continuationSeparator" w:id="0">
    <w:p w14:paraId="57AB954C" w14:textId="77777777" w:rsidR="006566AB" w:rsidRDefault="006566AB" w:rsidP="00015F65">
      <w:pPr>
        <w:spacing w:after="0" w:line="240" w:lineRule="auto"/>
      </w:pPr>
      <w:r>
        <w:continuationSeparator/>
      </w:r>
    </w:p>
  </w:footnote>
  <w:footnote w:type="continuationNotice" w:id="1">
    <w:p w14:paraId="3B6AFFAA" w14:textId="77777777" w:rsidR="006566AB" w:rsidRDefault="006566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E7BCB" w14:textId="77777777" w:rsidR="00015F65" w:rsidRPr="00015F65" w:rsidRDefault="00015F65" w:rsidP="00015F65">
    <w:pPr>
      <w:pStyle w:val="Header"/>
      <w:jc w:val="right"/>
      <w:rPr>
        <w:rFonts w:ascii="Palatino Linotype" w:hAnsi="Palatino Linotype"/>
      </w:rPr>
    </w:pPr>
    <w:r w:rsidRPr="00015F65">
      <w:rPr>
        <w:rFonts w:ascii="Palatino Linotype" w:hAnsi="Palatino Linotype"/>
      </w:rPr>
      <w:t>Technology ID: [</w:t>
    </w:r>
    <w:r w:rsidRPr="002F2420">
      <w:rPr>
        <w:rFonts w:ascii="Palatino Linotype" w:hAnsi="Palatino Linotype"/>
      </w:rPr>
      <w:t>YYYY-ZZ</w:t>
    </w:r>
    <w:r w:rsidR="00D14DBE" w:rsidRPr="002F2420">
      <w:rPr>
        <w:rFonts w:ascii="Palatino Linotype" w:hAnsi="Palatino Linotype"/>
      </w:rPr>
      <w:t>Z</w:t>
    </w:r>
    <w:r w:rsidRPr="00015F65">
      <w:rPr>
        <w:rFonts w:ascii="Palatino Linotype" w:hAnsi="Palatino Linotyp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6D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F218A"/>
    <w:multiLevelType w:val="hybridMultilevel"/>
    <w:tmpl w:val="7A84769E"/>
    <w:lvl w:ilvl="0" w:tplc="2592C53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527C75"/>
    <w:multiLevelType w:val="hybridMultilevel"/>
    <w:tmpl w:val="FE7CA5AA"/>
    <w:lvl w:ilvl="0" w:tplc="3F1680A6">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05495F"/>
    <w:multiLevelType w:val="multilevel"/>
    <w:tmpl w:val="30AA57B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29288F"/>
    <w:multiLevelType w:val="multilevel"/>
    <w:tmpl w:val="53CAFCF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ED5ED3"/>
    <w:multiLevelType w:val="multilevel"/>
    <w:tmpl w:val="A62099D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660E1C"/>
    <w:multiLevelType w:val="multilevel"/>
    <w:tmpl w:val="DDAA766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3C1C41"/>
    <w:multiLevelType w:val="multilevel"/>
    <w:tmpl w:val="3BC0AC30"/>
    <w:lvl w:ilvl="0">
      <w:start w:val="8"/>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577E3C"/>
    <w:multiLevelType w:val="hybridMultilevel"/>
    <w:tmpl w:val="DC845E0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CB74C7"/>
    <w:multiLevelType w:val="multilevel"/>
    <w:tmpl w:val="9620B2EA"/>
    <w:lvl w:ilvl="0">
      <w:start w:val="1"/>
      <w:numFmt w:val="lowerLetter"/>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0" w15:restartNumberingAfterBreak="0">
    <w:nsid w:val="26F2397D"/>
    <w:multiLevelType w:val="multilevel"/>
    <w:tmpl w:val="62AA6F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AA16D0"/>
    <w:multiLevelType w:val="multilevel"/>
    <w:tmpl w:val="8872F9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9A1269"/>
    <w:multiLevelType w:val="hybridMultilevel"/>
    <w:tmpl w:val="EBDE27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4C4B3D"/>
    <w:multiLevelType w:val="multilevel"/>
    <w:tmpl w:val="32228AF4"/>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EC3FEC"/>
    <w:multiLevelType w:val="hybridMultilevel"/>
    <w:tmpl w:val="0CEAE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944E59"/>
    <w:multiLevelType w:val="hybridMultilevel"/>
    <w:tmpl w:val="FC2A8D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035BC"/>
    <w:multiLevelType w:val="hybridMultilevel"/>
    <w:tmpl w:val="990257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0D31F8"/>
    <w:multiLevelType w:val="multilevel"/>
    <w:tmpl w:val="DDAA766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F622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C21CE0"/>
    <w:multiLevelType w:val="multilevel"/>
    <w:tmpl w:val="A7C4A9E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173E3F"/>
    <w:multiLevelType w:val="multilevel"/>
    <w:tmpl w:val="8FC8733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3A73D2"/>
    <w:multiLevelType w:val="multilevel"/>
    <w:tmpl w:val="36C2FA6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487DAE"/>
    <w:multiLevelType w:val="multilevel"/>
    <w:tmpl w:val="1498732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4842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050AAF"/>
    <w:multiLevelType w:val="multilevel"/>
    <w:tmpl w:val="3202EB8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4B46D5"/>
    <w:multiLevelType w:val="multilevel"/>
    <w:tmpl w:val="36C2FA6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6C1DC2"/>
    <w:multiLevelType w:val="multilevel"/>
    <w:tmpl w:val="85BAB22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5D1F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7124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897CC0"/>
    <w:multiLevelType w:val="hybridMultilevel"/>
    <w:tmpl w:val="38BE23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C206CC"/>
    <w:multiLevelType w:val="multilevel"/>
    <w:tmpl w:val="DDAA766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F647B5"/>
    <w:multiLevelType w:val="multilevel"/>
    <w:tmpl w:val="B568F3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6A065A3"/>
    <w:multiLevelType w:val="hybridMultilevel"/>
    <w:tmpl w:val="C97C22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33661E"/>
    <w:multiLevelType w:val="hybridMultilevel"/>
    <w:tmpl w:val="00A651F0"/>
    <w:lvl w:ilvl="0" w:tplc="DA1AB49A">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474873"/>
    <w:multiLevelType w:val="hybridMultilevel"/>
    <w:tmpl w:val="D64263DA"/>
    <w:lvl w:ilvl="0" w:tplc="9DA447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5F0388"/>
    <w:multiLevelType w:val="multilevel"/>
    <w:tmpl w:val="4588CB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6A43D50"/>
    <w:multiLevelType w:val="multilevel"/>
    <w:tmpl w:val="8872F9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F16A23"/>
    <w:multiLevelType w:val="multilevel"/>
    <w:tmpl w:val="EDD48AD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27"/>
  </w:num>
  <w:num w:numId="3">
    <w:abstractNumId w:val="30"/>
  </w:num>
  <w:num w:numId="4">
    <w:abstractNumId w:val="15"/>
  </w:num>
  <w:num w:numId="5">
    <w:abstractNumId w:val="6"/>
  </w:num>
  <w:num w:numId="6">
    <w:abstractNumId w:val="17"/>
  </w:num>
  <w:num w:numId="7">
    <w:abstractNumId w:val="34"/>
  </w:num>
  <w:num w:numId="8">
    <w:abstractNumId w:val="16"/>
  </w:num>
  <w:num w:numId="9">
    <w:abstractNumId w:val="29"/>
  </w:num>
  <w:num w:numId="10">
    <w:abstractNumId w:val="32"/>
  </w:num>
  <w:num w:numId="11">
    <w:abstractNumId w:val="12"/>
  </w:num>
  <w:num w:numId="12">
    <w:abstractNumId w:val="5"/>
  </w:num>
  <w:num w:numId="13">
    <w:abstractNumId w:val="11"/>
  </w:num>
  <w:num w:numId="14">
    <w:abstractNumId w:val="20"/>
  </w:num>
  <w:num w:numId="15">
    <w:abstractNumId w:val="36"/>
  </w:num>
  <w:num w:numId="16">
    <w:abstractNumId w:val="14"/>
  </w:num>
  <w:num w:numId="17">
    <w:abstractNumId w:val="31"/>
  </w:num>
  <w:num w:numId="18">
    <w:abstractNumId w:val="26"/>
  </w:num>
  <w:num w:numId="19">
    <w:abstractNumId w:val="33"/>
  </w:num>
  <w:num w:numId="20">
    <w:abstractNumId w:val="23"/>
  </w:num>
  <w:num w:numId="21">
    <w:abstractNumId w:val="9"/>
  </w:num>
  <w:num w:numId="22">
    <w:abstractNumId w:val="3"/>
  </w:num>
  <w:num w:numId="23">
    <w:abstractNumId w:val="0"/>
  </w:num>
  <w:num w:numId="24">
    <w:abstractNumId w:val="22"/>
  </w:num>
  <w:num w:numId="25">
    <w:abstractNumId w:val="4"/>
  </w:num>
  <w:num w:numId="26">
    <w:abstractNumId w:val="37"/>
  </w:num>
  <w:num w:numId="27">
    <w:abstractNumId w:val="24"/>
  </w:num>
  <w:num w:numId="28">
    <w:abstractNumId w:val="13"/>
  </w:num>
  <w:num w:numId="29">
    <w:abstractNumId w:val="25"/>
  </w:num>
  <w:num w:numId="30">
    <w:abstractNumId w:val="21"/>
  </w:num>
  <w:num w:numId="31">
    <w:abstractNumId w:val="7"/>
  </w:num>
  <w:num w:numId="32">
    <w:abstractNumId w:val="19"/>
  </w:num>
  <w:num w:numId="33">
    <w:abstractNumId w:val="35"/>
  </w:num>
  <w:num w:numId="34">
    <w:abstractNumId w:val="28"/>
  </w:num>
  <w:num w:numId="35">
    <w:abstractNumId w:val="10"/>
  </w:num>
  <w:num w:numId="36">
    <w:abstractNumId w:val="1"/>
  </w:num>
  <w:num w:numId="37">
    <w:abstractNumId w:val="2"/>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BE4"/>
    <w:rsid w:val="00005D0C"/>
    <w:rsid w:val="00015F65"/>
    <w:rsid w:val="000253E3"/>
    <w:rsid w:val="00025595"/>
    <w:rsid w:val="00030A4C"/>
    <w:rsid w:val="00047D5F"/>
    <w:rsid w:val="000561F2"/>
    <w:rsid w:val="00061C66"/>
    <w:rsid w:val="00074A73"/>
    <w:rsid w:val="00086129"/>
    <w:rsid w:val="000975FA"/>
    <w:rsid w:val="000A05E3"/>
    <w:rsid w:val="000A2811"/>
    <w:rsid w:val="000A3091"/>
    <w:rsid w:val="000A3596"/>
    <w:rsid w:val="000A41BC"/>
    <w:rsid w:val="000C2D71"/>
    <w:rsid w:val="000D31CB"/>
    <w:rsid w:val="0014530C"/>
    <w:rsid w:val="00160FC7"/>
    <w:rsid w:val="00161D7F"/>
    <w:rsid w:val="00166092"/>
    <w:rsid w:val="001766DC"/>
    <w:rsid w:val="00181FA9"/>
    <w:rsid w:val="001830DA"/>
    <w:rsid w:val="001967C9"/>
    <w:rsid w:val="001B0324"/>
    <w:rsid w:val="001B404A"/>
    <w:rsid w:val="001B7926"/>
    <w:rsid w:val="001F01E6"/>
    <w:rsid w:val="001F0424"/>
    <w:rsid w:val="0020584E"/>
    <w:rsid w:val="002068C3"/>
    <w:rsid w:val="00214BF8"/>
    <w:rsid w:val="00217EE8"/>
    <w:rsid w:val="00246501"/>
    <w:rsid w:val="002563FE"/>
    <w:rsid w:val="00260684"/>
    <w:rsid w:val="00265A88"/>
    <w:rsid w:val="00292B7B"/>
    <w:rsid w:val="002940F1"/>
    <w:rsid w:val="002A6716"/>
    <w:rsid w:val="002E3528"/>
    <w:rsid w:val="002F2420"/>
    <w:rsid w:val="00306F3C"/>
    <w:rsid w:val="00316394"/>
    <w:rsid w:val="0032127D"/>
    <w:rsid w:val="003240B2"/>
    <w:rsid w:val="00327D96"/>
    <w:rsid w:val="00331DF1"/>
    <w:rsid w:val="00343877"/>
    <w:rsid w:val="00343DA5"/>
    <w:rsid w:val="003776CC"/>
    <w:rsid w:val="00393CA9"/>
    <w:rsid w:val="00394E71"/>
    <w:rsid w:val="00395079"/>
    <w:rsid w:val="003966ED"/>
    <w:rsid w:val="00396D1C"/>
    <w:rsid w:val="003C6C3C"/>
    <w:rsid w:val="003D067D"/>
    <w:rsid w:val="003D5953"/>
    <w:rsid w:val="003E02C3"/>
    <w:rsid w:val="003E6D23"/>
    <w:rsid w:val="00406040"/>
    <w:rsid w:val="004071E5"/>
    <w:rsid w:val="0041237C"/>
    <w:rsid w:val="00414879"/>
    <w:rsid w:val="00415E9A"/>
    <w:rsid w:val="0043266F"/>
    <w:rsid w:val="004361C3"/>
    <w:rsid w:val="004562D4"/>
    <w:rsid w:val="00456FB1"/>
    <w:rsid w:val="0046026E"/>
    <w:rsid w:val="0046403D"/>
    <w:rsid w:val="004645D5"/>
    <w:rsid w:val="004704AA"/>
    <w:rsid w:val="00480502"/>
    <w:rsid w:val="004B0510"/>
    <w:rsid w:val="004B6E0C"/>
    <w:rsid w:val="004D11E6"/>
    <w:rsid w:val="004E6712"/>
    <w:rsid w:val="004F442D"/>
    <w:rsid w:val="00500047"/>
    <w:rsid w:val="005036E1"/>
    <w:rsid w:val="0050704C"/>
    <w:rsid w:val="0051427B"/>
    <w:rsid w:val="00527E06"/>
    <w:rsid w:val="005354B6"/>
    <w:rsid w:val="0053599A"/>
    <w:rsid w:val="00543CD7"/>
    <w:rsid w:val="00552269"/>
    <w:rsid w:val="00567487"/>
    <w:rsid w:val="00582574"/>
    <w:rsid w:val="00584BE4"/>
    <w:rsid w:val="005B41A6"/>
    <w:rsid w:val="005B4F2E"/>
    <w:rsid w:val="005D781B"/>
    <w:rsid w:val="005F54F4"/>
    <w:rsid w:val="00602B31"/>
    <w:rsid w:val="00605127"/>
    <w:rsid w:val="006111A0"/>
    <w:rsid w:val="006129B4"/>
    <w:rsid w:val="006420F5"/>
    <w:rsid w:val="006566AB"/>
    <w:rsid w:val="006569DB"/>
    <w:rsid w:val="006C341C"/>
    <w:rsid w:val="006D5952"/>
    <w:rsid w:val="006E3CFB"/>
    <w:rsid w:val="006E5BDC"/>
    <w:rsid w:val="006E673F"/>
    <w:rsid w:val="006F44E5"/>
    <w:rsid w:val="006F5C4C"/>
    <w:rsid w:val="006F5CF5"/>
    <w:rsid w:val="006F7363"/>
    <w:rsid w:val="00702EE5"/>
    <w:rsid w:val="007061BD"/>
    <w:rsid w:val="00720CDF"/>
    <w:rsid w:val="0073480B"/>
    <w:rsid w:val="00760328"/>
    <w:rsid w:val="007739AA"/>
    <w:rsid w:val="00780B08"/>
    <w:rsid w:val="00784C31"/>
    <w:rsid w:val="00786D36"/>
    <w:rsid w:val="0079046B"/>
    <w:rsid w:val="00791017"/>
    <w:rsid w:val="007974C0"/>
    <w:rsid w:val="007D30EB"/>
    <w:rsid w:val="00810119"/>
    <w:rsid w:val="00847E13"/>
    <w:rsid w:val="008538A5"/>
    <w:rsid w:val="00866808"/>
    <w:rsid w:val="00884A6B"/>
    <w:rsid w:val="008933F9"/>
    <w:rsid w:val="0089717D"/>
    <w:rsid w:val="00897720"/>
    <w:rsid w:val="008B1125"/>
    <w:rsid w:val="008B14A9"/>
    <w:rsid w:val="008C3160"/>
    <w:rsid w:val="008C392D"/>
    <w:rsid w:val="008C465A"/>
    <w:rsid w:val="008E2E43"/>
    <w:rsid w:val="00903899"/>
    <w:rsid w:val="00904B60"/>
    <w:rsid w:val="00905AE5"/>
    <w:rsid w:val="009128FE"/>
    <w:rsid w:val="009167A9"/>
    <w:rsid w:val="00936FA4"/>
    <w:rsid w:val="00941A20"/>
    <w:rsid w:val="009474CE"/>
    <w:rsid w:val="009554C1"/>
    <w:rsid w:val="00986356"/>
    <w:rsid w:val="009C095A"/>
    <w:rsid w:val="009E4F05"/>
    <w:rsid w:val="009E54E1"/>
    <w:rsid w:val="009F5CD4"/>
    <w:rsid w:val="00A059EF"/>
    <w:rsid w:val="00A07F69"/>
    <w:rsid w:val="00A24FEA"/>
    <w:rsid w:val="00A2739B"/>
    <w:rsid w:val="00A3110C"/>
    <w:rsid w:val="00A31D55"/>
    <w:rsid w:val="00A52A98"/>
    <w:rsid w:val="00A53165"/>
    <w:rsid w:val="00A64D0B"/>
    <w:rsid w:val="00A72ADE"/>
    <w:rsid w:val="00A76939"/>
    <w:rsid w:val="00A86929"/>
    <w:rsid w:val="00A94B4D"/>
    <w:rsid w:val="00A95DE7"/>
    <w:rsid w:val="00AA5D35"/>
    <w:rsid w:val="00AF301A"/>
    <w:rsid w:val="00AF5DBE"/>
    <w:rsid w:val="00B014B2"/>
    <w:rsid w:val="00B0547C"/>
    <w:rsid w:val="00B07216"/>
    <w:rsid w:val="00B16B03"/>
    <w:rsid w:val="00B2019F"/>
    <w:rsid w:val="00B33CF3"/>
    <w:rsid w:val="00B70F02"/>
    <w:rsid w:val="00BA5F11"/>
    <w:rsid w:val="00BC3390"/>
    <w:rsid w:val="00BC5A57"/>
    <w:rsid w:val="00BC5D6D"/>
    <w:rsid w:val="00BC7473"/>
    <w:rsid w:val="00BD0E30"/>
    <w:rsid w:val="00BD21DF"/>
    <w:rsid w:val="00BE2645"/>
    <w:rsid w:val="00BF6EA1"/>
    <w:rsid w:val="00C048BB"/>
    <w:rsid w:val="00C219E8"/>
    <w:rsid w:val="00C356F7"/>
    <w:rsid w:val="00C4180C"/>
    <w:rsid w:val="00C64B3F"/>
    <w:rsid w:val="00C76095"/>
    <w:rsid w:val="00C909C0"/>
    <w:rsid w:val="00C95772"/>
    <w:rsid w:val="00CB10E6"/>
    <w:rsid w:val="00CC6120"/>
    <w:rsid w:val="00CE4AF8"/>
    <w:rsid w:val="00D1009C"/>
    <w:rsid w:val="00D14DBE"/>
    <w:rsid w:val="00D159F2"/>
    <w:rsid w:val="00D235FA"/>
    <w:rsid w:val="00D26A6F"/>
    <w:rsid w:val="00D35B79"/>
    <w:rsid w:val="00D41F7D"/>
    <w:rsid w:val="00D555A0"/>
    <w:rsid w:val="00D60958"/>
    <w:rsid w:val="00D6406E"/>
    <w:rsid w:val="00D719EF"/>
    <w:rsid w:val="00D813C8"/>
    <w:rsid w:val="00DB6091"/>
    <w:rsid w:val="00DD0082"/>
    <w:rsid w:val="00DE09BC"/>
    <w:rsid w:val="00DE5B7B"/>
    <w:rsid w:val="00E21D98"/>
    <w:rsid w:val="00E30EF0"/>
    <w:rsid w:val="00E32168"/>
    <w:rsid w:val="00E414F0"/>
    <w:rsid w:val="00E57AF4"/>
    <w:rsid w:val="00E711A5"/>
    <w:rsid w:val="00E83844"/>
    <w:rsid w:val="00E83B59"/>
    <w:rsid w:val="00E934C9"/>
    <w:rsid w:val="00EA0464"/>
    <w:rsid w:val="00EE5A30"/>
    <w:rsid w:val="00EF4C30"/>
    <w:rsid w:val="00EF70DF"/>
    <w:rsid w:val="00F111DF"/>
    <w:rsid w:val="00F15ABE"/>
    <w:rsid w:val="00F17717"/>
    <w:rsid w:val="00F311E1"/>
    <w:rsid w:val="00F32FE6"/>
    <w:rsid w:val="00F400BB"/>
    <w:rsid w:val="00FA5BA8"/>
    <w:rsid w:val="00FB3C6F"/>
    <w:rsid w:val="00FB3CFB"/>
    <w:rsid w:val="00FE4744"/>
    <w:rsid w:val="00FF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D32E"/>
  <w15:chartTrackingRefBased/>
  <w15:docId w15:val="{B7164DF2-EDA2-4141-BC58-DB7C9652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F65"/>
  </w:style>
  <w:style w:type="paragraph" w:styleId="Footer">
    <w:name w:val="footer"/>
    <w:basedOn w:val="Normal"/>
    <w:link w:val="FooterChar"/>
    <w:uiPriority w:val="99"/>
    <w:unhideWhenUsed/>
    <w:rsid w:val="00015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F65"/>
  </w:style>
  <w:style w:type="paragraph" w:styleId="ListParagraph">
    <w:name w:val="List Paragraph"/>
    <w:basedOn w:val="Normal"/>
    <w:uiPriority w:val="34"/>
    <w:qFormat/>
    <w:rsid w:val="00086129"/>
    <w:pPr>
      <w:ind w:left="720"/>
      <w:contextualSpacing/>
    </w:pPr>
  </w:style>
  <w:style w:type="table" w:styleId="TableGrid">
    <w:name w:val="Table Grid"/>
    <w:basedOn w:val="TableNormal"/>
    <w:uiPriority w:val="39"/>
    <w:rsid w:val="0078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0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F02"/>
    <w:rPr>
      <w:rFonts w:ascii="Segoe UI" w:hAnsi="Segoe UI" w:cs="Segoe UI"/>
      <w:sz w:val="18"/>
      <w:szCs w:val="18"/>
    </w:rPr>
  </w:style>
  <w:style w:type="character" w:styleId="CommentReference">
    <w:name w:val="annotation reference"/>
    <w:basedOn w:val="DefaultParagraphFont"/>
    <w:uiPriority w:val="99"/>
    <w:semiHidden/>
    <w:unhideWhenUsed/>
    <w:rsid w:val="00D14DBE"/>
    <w:rPr>
      <w:sz w:val="16"/>
      <w:szCs w:val="16"/>
    </w:rPr>
  </w:style>
  <w:style w:type="paragraph" w:styleId="CommentText">
    <w:name w:val="annotation text"/>
    <w:basedOn w:val="Normal"/>
    <w:link w:val="CommentTextChar"/>
    <w:uiPriority w:val="99"/>
    <w:unhideWhenUsed/>
    <w:rsid w:val="00D14DBE"/>
    <w:pPr>
      <w:spacing w:line="240" w:lineRule="auto"/>
    </w:pPr>
    <w:rPr>
      <w:sz w:val="20"/>
      <w:szCs w:val="20"/>
    </w:rPr>
  </w:style>
  <w:style w:type="character" w:customStyle="1" w:styleId="CommentTextChar">
    <w:name w:val="Comment Text Char"/>
    <w:basedOn w:val="DefaultParagraphFont"/>
    <w:link w:val="CommentText"/>
    <w:uiPriority w:val="99"/>
    <w:rsid w:val="00D14DBE"/>
    <w:rPr>
      <w:sz w:val="20"/>
      <w:szCs w:val="20"/>
    </w:rPr>
  </w:style>
  <w:style w:type="paragraph" w:styleId="CommentSubject">
    <w:name w:val="annotation subject"/>
    <w:basedOn w:val="CommentText"/>
    <w:next w:val="CommentText"/>
    <w:link w:val="CommentSubjectChar"/>
    <w:uiPriority w:val="99"/>
    <w:semiHidden/>
    <w:unhideWhenUsed/>
    <w:rsid w:val="00D14DBE"/>
    <w:rPr>
      <w:b/>
      <w:bCs/>
    </w:rPr>
  </w:style>
  <w:style w:type="character" w:customStyle="1" w:styleId="CommentSubjectChar">
    <w:name w:val="Comment Subject Char"/>
    <w:basedOn w:val="CommentTextChar"/>
    <w:link w:val="CommentSubject"/>
    <w:uiPriority w:val="99"/>
    <w:semiHidden/>
    <w:rsid w:val="00D14DBE"/>
    <w:rPr>
      <w:b/>
      <w:bCs/>
      <w:sz w:val="20"/>
      <w:szCs w:val="20"/>
    </w:rPr>
  </w:style>
  <w:style w:type="paragraph" w:styleId="Revision">
    <w:name w:val="Revision"/>
    <w:hidden/>
    <w:uiPriority w:val="99"/>
    <w:semiHidden/>
    <w:rsid w:val="002940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5C8FEAEB314B4A9749EFED9CE4B8B6" ma:contentTypeVersion="13" ma:contentTypeDescription="Create a new document." ma:contentTypeScope="" ma:versionID="28770593415395c37851c86f7920413e">
  <xsd:schema xmlns:xsd="http://www.w3.org/2001/XMLSchema" xmlns:xs="http://www.w3.org/2001/XMLSchema" xmlns:p="http://schemas.microsoft.com/office/2006/metadata/properties" xmlns:ns3="7183ed49-9f5f-4b04-a53a-40b3f7491946" xmlns:ns4="dcf9c071-f24f-474f-b8f2-caf1c44d8fe8" targetNamespace="http://schemas.microsoft.com/office/2006/metadata/properties" ma:root="true" ma:fieldsID="c998487890e961c4c696e43759898770" ns3:_="" ns4:_="">
    <xsd:import namespace="7183ed49-9f5f-4b04-a53a-40b3f7491946"/>
    <xsd:import namespace="dcf9c071-f24f-474f-b8f2-caf1c44d8f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3ed49-9f5f-4b04-a53a-40b3f74919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f9c071-f24f-474f-b8f2-caf1c44d8fe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F6907-D25E-4D83-B37F-051846452AA9}">
  <ds:schemaRefs>
    <ds:schemaRef ds:uri="http://schemas.microsoft.com/sharepoint/v3/contenttype/forms"/>
  </ds:schemaRefs>
</ds:datastoreItem>
</file>

<file path=customXml/itemProps2.xml><?xml version="1.0" encoding="utf-8"?>
<ds:datastoreItem xmlns:ds="http://schemas.openxmlformats.org/officeDocument/2006/customXml" ds:itemID="{C95556EE-881F-4DEC-B327-34C9AACA1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3ed49-9f5f-4b04-a53a-40b3f7491946"/>
    <ds:schemaRef ds:uri="dcf9c071-f24f-474f-b8f2-caf1c44d8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9DF610-80BF-4D30-8D1A-88CC5ADEC8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34758E-8C13-455C-8D97-B00B0753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2712</Words>
  <Characters>15464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PARTEQ Innovations</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Banting</dc:creator>
  <cp:keywords/>
  <dc:description/>
  <cp:lastModifiedBy>Amanda Gilbert</cp:lastModifiedBy>
  <cp:revision>2</cp:revision>
  <cp:lastPrinted>2017-05-01T17:25:00Z</cp:lastPrinted>
  <dcterms:created xsi:type="dcterms:W3CDTF">2020-06-12T19:49:00Z</dcterms:created>
  <dcterms:modified xsi:type="dcterms:W3CDTF">2020-06-12T19:49:00Z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0x010100015C8FEAEB314B4A9749EFED9CE4B8B6</vt:lpwstr>
  </property>
</Properties>
</file>