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CEDC51" w14:textId="42E47D01" w:rsidR="00A528D5" w:rsidRPr="00525FD9" w:rsidRDefault="00A528D5">
      <w:pPr>
        <w:rPr>
          <w:rFonts w:ascii="Arial" w:hAnsi="Arial" w:cs="Arial"/>
          <w:b/>
          <w:bCs/>
          <w:u w:val="single"/>
        </w:rPr>
      </w:pPr>
      <w:r w:rsidRPr="00525FD9">
        <w:rPr>
          <w:rFonts w:ascii="Arial" w:hAnsi="Arial" w:cs="Arial"/>
          <w:b/>
          <w:bCs/>
          <w:u w:val="single"/>
        </w:rPr>
        <w:t>HALO Image Analysis</w:t>
      </w:r>
      <w:r w:rsidR="00525FD9">
        <w:rPr>
          <w:rFonts w:ascii="Arial" w:hAnsi="Arial" w:cs="Arial"/>
          <w:b/>
          <w:bCs/>
          <w:u w:val="single"/>
        </w:rPr>
        <w:t xml:space="preserve"> </w:t>
      </w:r>
    </w:p>
    <w:p w14:paraId="766FA4E0" w14:textId="4B7FA277" w:rsidR="00BD0B6A" w:rsidRPr="00DB1E64" w:rsidRDefault="00A17B41">
      <w:pPr>
        <w:rPr>
          <w:rFonts w:ascii="Arial" w:hAnsi="Arial" w:cs="Arial"/>
          <w:i/>
          <w:iCs/>
        </w:rPr>
      </w:pPr>
      <w:r w:rsidRPr="00DB1E64">
        <w:rPr>
          <w:rFonts w:ascii="Arial" w:hAnsi="Arial" w:cs="Arial"/>
          <w:i/>
          <w:iCs/>
        </w:rPr>
        <w:t xml:space="preserve">How do I access HALO? </w:t>
      </w:r>
    </w:p>
    <w:p w14:paraId="4CDB9458" w14:textId="657E40D9" w:rsidR="00BD0B6A" w:rsidRPr="00DB1E64" w:rsidRDefault="00DB1E64">
      <w:pPr>
        <w:rPr>
          <w:rFonts w:ascii="Arial" w:hAnsi="Arial" w:cs="Arial"/>
        </w:rPr>
      </w:pPr>
      <w:r w:rsidRPr="00DB1E64">
        <w:rPr>
          <w:rFonts w:ascii="Arial" w:hAnsi="Arial" w:cs="Arial"/>
          <w:noProof/>
        </w:rPr>
        <w:drawing>
          <wp:anchor distT="0" distB="0" distL="114300" distR="114300" simplePos="0" relativeHeight="251657216" behindDoc="1" locked="0" layoutInCell="1" allowOverlap="1" wp14:anchorId="4D5E2D8A" wp14:editId="5D93EB88">
            <wp:simplePos x="0" y="0"/>
            <wp:positionH relativeFrom="column">
              <wp:posOffset>3255010</wp:posOffset>
            </wp:positionH>
            <wp:positionV relativeFrom="paragraph">
              <wp:posOffset>3810</wp:posOffset>
            </wp:positionV>
            <wp:extent cx="3175000" cy="1933575"/>
            <wp:effectExtent l="0" t="0" r="6350" b="9525"/>
            <wp:wrapTight wrapText="bothSides">
              <wp:wrapPolygon edited="0">
                <wp:start x="0" y="0"/>
                <wp:lineTo x="0" y="21494"/>
                <wp:lineTo x="21514" y="21494"/>
                <wp:lineTo x="21514" y="0"/>
                <wp:lineTo x="0" y="0"/>
              </wp:wrapPolygon>
            </wp:wrapTight>
            <wp:docPr id="1709970426" name="Picture 1" descr="A screenshot of a login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70426" name="Picture 1" descr="A screenshot of a login box&#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3175000" cy="1933575"/>
                    </a:xfrm>
                    <a:prstGeom prst="rect">
                      <a:avLst/>
                    </a:prstGeom>
                  </pic:spPr>
                </pic:pic>
              </a:graphicData>
            </a:graphic>
            <wp14:sizeRelH relativeFrom="margin">
              <wp14:pctWidth>0</wp14:pctWidth>
            </wp14:sizeRelH>
            <wp14:sizeRelV relativeFrom="margin">
              <wp14:pctHeight>0</wp14:pctHeight>
            </wp14:sizeRelV>
          </wp:anchor>
        </w:drawing>
      </w:r>
      <w:r w:rsidR="00BD0B6A" w:rsidRPr="00DB1E64">
        <w:rPr>
          <w:rFonts w:ascii="Arial" w:hAnsi="Arial" w:cs="Arial"/>
        </w:rPr>
        <w:t xml:space="preserve">HALO Link is an image management system that allows you to </w:t>
      </w:r>
      <w:r w:rsidR="00DE67F7" w:rsidRPr="00DB1E64">
        <w:rPr>
          <w:rFonts w:ascii="Arial" w:hAnsi="Arial" w:cs="Arial"/>
        </w:rPr>
        <w:t xml:space="preserve">remotely access slides and run image analysis algorithms previously developed in HALO. </w:t>
      </w:r>
    </w:p>
    <w:p w14:paraId="7A62303F" w14:textId="74505D48" w:rsidR="00BD0B6A" w:rsidRPr="00DB1E64" w:rsidRDefault="00BD0B6A">
      <w:r w:rsidRPr="00DB1E64">
        <w:rPr>
          <w:rFonts w:ascii="Arial" w:hAnsi="Arial" w:cs="Arial"/>
        </w:rPr>
        <w:t xml:space="preserve">HALO Link is accessible through a web browser at </w:t>
      </w:r>
      <w:hyperlink r:id="rId6" w:tgtFrame="_blank" w:history="1">
        <w:r w:rsidRPr="00DB1E64">
          <w:rPr>
            <w:rStyle w:val="Hyperlink"/>
            <w:rFonts w:ascii="Calibri" w:hAnsi="Calibri" w:cs="Calibri"/>
            <w:bdr w:val="none" w:sz="0" w:space="0" w:color="auto" w:frame="1"/>
            <w:shd w:val="clear" w:color="auto" w:fill="FFFFFF"/>
          </w:rPr>
          <w:t>https://images.path.queensu.ca/</w:t>
        </w:r>
      </w:hyperlink>
    </w:p>
    <w:p w14:paraId="3BEB167F" w14:textId="6E9986C3" w:rsidR="00DE67F7" w:rsidRPr="00DB1E64" w:rsidRDefault="00DE67F7">
      <w:pPr>
        <w:rPr>
          <w:rFonts w:ascii="Arial" w:hAnsi="Arial" w:cs="Arial"/>
        </w:rPr>
      </w:pPr>
      <w:r w:rsidRPr="00DB1E64">
        <w:rPr>
          <w:rFonts w:ascii="Arial" w:hAnsi="Arial" w:cs="Arial"/>
        </w:rPr>
        <w:t xml:space="preserve">For algorithm development, the </w:t>
      </w:r>
      <w:r w:rsidR="00A17B41" w:rsidRPr="00DB1E64">
        <w:rPr>
          <w:rFonts w:ascii="Arial" w:hAnsi="Arial" w:cs="Arial"/>
        </w:rPr>
        <w:t xml:space="preserve">HALO </w:t>
      </w:r>
      <w:r w:rsidR="00BD0B6A" w:rsidRPr="00DB1E64">
        <w:rPr>
          <w:rFonts w:ascii="Arial" w:hAnsi="Arial" w:cs="Arial"/>
        </w:rPr>
        <w:t xml:space="preserve">workstation </w:t>
      </w:r>
      <w:r w:rsidRPr="00DB1E64">
        <w:rPr>
          <w:rFonts w:ascii="Arial" w:hAnsi="Arial" w:cs="Arial"/>
        </w:rPr>
        <w:t>is located</w:t>
      </w:r>
      <w:r w:rsidR="00A17B41" w:rsidRPr="00DB1E64">
        <w:rPr>
          <w:rFonts w:ascii="Arial" w:hAnsi="Arial" w:cs="Arial"/>
        </w:rPr>
        <w:t xml:space="preserve"> </w:t>
      </w:r>
      <w:r w:rsidR="00A85DA5" w:rsidRPr="00DB1E64">
        <w:rPr>
          <w:rFonts w:ascii="Arial" w:hAnsi="Arial" w:cs="Arial"/>
        </w:rPr>
        <w:t>at</w:t>
      </w:r>
      <w:r w:rsidR="00A17B41" w:rsidRPr="00DB1E64">
        <w:rPr>
          <w:rFonts w:ascii="Arial" w:hAnsi="Arial" w:cs="Arial"/>
        </w:rPr>
        <w:t xml:space="preserve"> </w:t>
      </w:r>
      <w:r w:rsidR="00A85DA5" w:rsidRPr="00DB1E64">
        <w:rPr>
          <w:rFonts w:ascii="Arial" w:hAnsi="Arial" w:cs="Arial"/>
        </w:rPr>
        <w:t>Richardson Lab Rm 401</w:t>
      </w:r>
      <w:r w:rsidR="00A17B41" w:rsidRPr="00DB1E64">
        <w:rPr>
          <w:rFonts w:ascii="Arial" w:hAnsi="Arial" w:cs="Arial"/>
        </w:rPr>
        <w:t xml:space="preserve">. Remote </w:t>
      </w:r>
      <w:r w:rsidRPr="00DB1E64">
        <w:rPr>
          <w:rFonts w:ascii="Arial" w:hAnsi="Arial" w:cs="Arial"/>
        </w:rPr>
        <w:t xml:space="preserve">desktop </w:t>
      </w:r>
      <w:r w:rsidR="00A17B41" w:rsidRPr="00DB1E64">
        <w:rPr>
          <w:rFonts w:ascii="Arial" w:hAnsi="Arial" w:cs="Arial"/>
        </w:rPr>
        <w:t>connection is available for selected user</w:t>
      </w:r>
      <w:r w:rsidRPr="00DB1E64">
        <w:rPr>
          <w:rFonts w:ascii="Arial" w:hAnsi="Arial" w:cs="Arial"/>
        </w:rPr>
        <w:t>s</w:t>
      </w:r>
      <w:r w:rsidR="00A17B41" w:rsidRPr="00DB1E64">
        <w:rPr>
          <w:rFonts w:ascii="Arial" w:hAnsi="Arial" w:cs="Arial"/>
        </w:rPr>
        <w:t xml:space="preserve"> based on request</w:t>
      </w:r>
      <w:r w:rsidRPr="00DB1E64">
        <w:rPr>
          <w:rFonts w:ascii="Arial" w:hAnsi="Arial" w:cs="Arial"/>
        </w:rPr>
        <w:t>.</w:t>
      </w:r>
      <w:r w:rsidR="00A17B41" w:rsidRPr="00DB1E64">
        <w:rPr>
          <w:rFonts w:ascii="Arial" w:hAnsi="Arial" w:cs="Arial"/>
        </w:rPr>
        <w:t xml:space="preserve"> </w:t>
      </w:r>
      <w:r w:rsidRPr="00DB1E64">
        <w:rPr>
          <w:rFonts w:ascii="Arial" w:hAnsi="Arial" w:cs="Arial"/>
        </w:rPr>
        <w:t xml:space="preserve">Calendar for bookings for remote desktop: </w:t>
      </w:r>
      <w:hyperlink r:id="rId7" w:history="1">
        <w:r w:rsidRPr="00DB1E64">
          <w:rPr>
            <w:rStyle w:val="Hyperlink"/>
            <w:rFonts w:ascii="Arial" w:hAnsi="Arial" w:cs="Arial"/>
          </w:rPr>
          <w:t>Link to online calendar</w:t>
        </w:r>
      </w:hyperlink>
      <w:r w:rsidRPr="00DB1E64">
        <w:rPr>
          <w:rFonts w:ascii="Arial" w:hAnsi="Arial" w:cs="Arial"/>
        </w:rPr>
        <w:t xml:space="preserve"> </w:t>
      </w:r>
    </w:p>
    <w:p w14:paraId="5FBDD508" w14:textId="3A13CC30" w:rsidR="00AA6290" w:rsidRPr="00DB1E64" w:rsidRDefault="000A7A5F">
      <w:pPr>
        <w:rPr>
          <w:rFonts w:ascii="Arial" w:hAnsi="Arial" w:cs="Arial"/>
          <w:i/>
          <w:iCs/>
        </w:rPr>
      </w:pPr>
      <w:r w:rsidRPr="00DB1E64">
        <w:rPr>
          <w:rFonts w:ascii="Arial" w:hAnsi="Arial" w:cs="Arial"/>
          <w:i/>
          <w:iCs/>
        </w:rPr>
        <w:t>Request</w:t>
      </w:r>
      <w:r w:rsidR="00AA6290" w:rsidRPr="00DB1E64">
        <w:rPr>
          <w:rFonts w:ascii="Arial" w:hAnsi="Arial" w:cs="Arial"/>
          <w:i/>
          <w:iCs/>
        </w:rPr>
        <w:t>ing</w:t>
      </w:r>
      <w:r w:rsidRPr="00DB1E64">
        <w:rPr>
          <w:rFonts w:ascii="Arial" w:hAnsi="Arial" w:cs="Arial"/>
          <w:i/>
          <w:iCs/>
        </w:rPr>
        <w:t xml:space="preserve"> for access: </w:t>
      </w:r>
    </w:p>
    <w:p w14:paraId="681D78AD" w14:textId="150C6AC0" w:rsidR="00AA6290" w:rsidRPr="00DB1E64" w:rsidRDefault="000A7A5F" w:rsidP="00AA6290">
      <w:pPr>
        <w:pStyle w:val="ListParagraph"/>
        <w:numPr>
          <w:ilvl w:val="0"/>
          <w:numId w:val="1"/>
        </w:numPr>
        <w:rPr>
          <w:rFonts w:ascii="Arial" w:hAnsi="Arial" w:cs="Arial"/>
        </w:rPr>
      </w:pPr>
      <w:r w:rsidRPr="00DB1E64">
        <w:rPr>
          <w:rFonts w:ascii="Arial" w:hAnsi="Arial" w:cs="Arial"/>
        </w:rPr>
        <w:t xml:space="preserve">Access to </w:t>
      </w:r>
      <w:r w:rsidR="00AA6290" w:rsidRPr="00DB1E64">
        <w:rPr>
          <w:rFonts w:ascii="Arial" w:hAnsi="Arial" w:cs="Arial"/>
        </w:rPr>
        <w:t xml:space="preserve">Richardson Lab Rm 401 </w:t>
      </w:r>
      <w:r w:rsidRPr="00DB1E64">
        <w:rPr>
          <w:rFonts w:ascii="Arial" w:hAnsi="Arial" w:cs="Arial"/>
        </w:rPr>
        <w:t>(Shakeel</w:t>
      </w:r>
      <w:r w:rsidR="00DE0661">
        <w:rPr>
          <w:rFonts w:ascii="Arial" w:hAnsi="Arial" w:cs="Arial"/>
        </w:rPr>
        <w:t xml:space="preserve"> - </w:t>
      </w:r>
      <w:hyperlink r:id="rId8" w:history="1">
        <w:r w:rsidR="00DE0661" w:rsidRPr="00DE0661">
          <w:rPr>
            <w:rStyle w:val="Hyperlink"/>
            <w:rFonts w:ascii="Arial" w:hAnsi="Arial" w:cs="Arial"/>
          </w:rPr>
          <w:t>virks@queensu.ca</w:t>
        </w:r>
      </w:hyperlink>
      <w:r w:rsidRPr="00DB1E64">
        <w:rPr>
          <w:rFonts w:ascii="Arial" w:hAnsi="Arial" w:cs="Arial"/>
        </w:rPr>
        <w:t xml:space="preserve">) </w:t>
      </w:r>
    </w:p>
    <w:p w14:paraId="5864E474" w14:textId="5C7CA187" w:rsidR="000A7A5F" w:rsidRPr="00DB1E64" w:rsidRDefault="00AA6290" w:rsidP="00AA6290">
      <w:pPr>
        <w:pStyle w:val="ListParagraph"/>
        <w:numPr>
          <w:ilvl w:val="0"/>
          <w:numId w:val="1"/>
        </w:numPr>
        <w:rPr>
          <w:rFonts w:ascii="Arial" w:hAnsi="Arial" w:cs="Arial"/>
        </w:rPr>
      </w:pPr>
      <w:r w:rsidRPr="00DB1E64">
        <w:rPr>
          <w:rFonts w:ascii="Arial" w:hAnsi="Arial" w:cs="Arial"/>
        </w:rPr>
        <w:t>A</w:t>
      </w:r>
      <w:r w:rsidR="000A7A5F" w:rsidRPr="00DB1E64">
        <w:rPr>
          <w:rFonts w:ascii="Arial" w:hAnsi="Arial" w:cs="Arial"/>
        </w:rPr>
        <w:t xml:space="preserve">ccess to </w:t>
      </w:r>
      <w:r w:rsidRPr="00DB1E64">
        <w:rPr>
          <w:rFonts w:ascii="Arial" w:hAnsi="Arial" w:cs="Arial"/>
        </w:rPr>
        <w:t xml:space="preserve">HALO </w:t>
      </w:r>
      <w:r w:rsidR="000A7A5F" w:rsidRPr="00DB1E64">
        <w:rPr>
          <w:rFonts w:ascii="Arial" w:hAnsi="Arial" w:cs="Arial"/>
        </w:rPr>
        <w:t>remote desktop (Kevin</w:t>
      </w:r>
      <w:r w:rsidR="00DE0661">
        <w:rPr>
          <w:rFonts w:ascii="Arial" w:hAnsi="Arial" w:cs="Arial"/>
        </w:rPr>
        <w:t xml:space="preserve"> Kell - </w:t>
      </w:r>
      <w:hyperlink r:id="rId9" w:history="1">
        <w:r w:rsidR="00DE0661" w:rsidRPr="00DE0661">
          <w:rPr>
            <w:rStyle w:val="Hyperlink"/>
            <w:rFonts w:ascii="Arial" w:hAnsi="Arial" w:cs="Arial"/>
          </w:rPr>
          <w:t>kevin.kell@queensu.ca</w:t>
        </w:r>
      </w:hyperlink>
      <w:r w:rsidR="000A7A5F" w:rsidRPr="00DB1E64">
        <w:rPr>
          <w:rFonts w:ascii="Arial" w:hAnsi="Arial" w:cs="Arial"/>
        </w:rPr>
        <w:t>)</w:t>
      </w:r>
    </w:p>
    <w:p w14:paraId="3C41F189" w14:textId="051231D2" w:rsidR="000A7A5F" w:rsidRPr="00DB1E64" w:rsidRDefault="000A7A5F">
      <w:pPr>
        <w:rPr>
          <w:rFonts w:ascii="Arial" w:hAnsi="Arial" w:cs="Arial"/>
          <w:i/>
          <w:iCs/>
        </w:rPr>
      </w:pPr>
      <w:r w:rsidRPr="00DB1E64">
        <w:rPr>
          <w:rFonts w:ascii="Arial" w:hAnsi="Arial" w:cs="Arial"/>
          <w:i/>
          <w:iCs/>
        </w:rPr>
        <w:t xml:space="preserve">Want to learn more about image analysis </w:t>
      </w:r>
      <w:r w:rsidR="00DB1E64" w:rsidRPr="00DB1E64">
        <w:rPr>
          <w:rFonts w:ascii="Arial" w:hAnsi="Arial" w:cs="Arial"/>
          <w:i/>
          <w:iCs/>
        </w:rPr>
        <w:t>i</w:t>
      </w:r>
      <w:r w:rsidRPr="00DB1E64">
        <w:rPr>
          <w:rFonts w:ascii="Arial" w:hAnsi="Arial" w:cs="Arial"/>
          <w:i/>
          <w:iCs/>
        </w:rPr>
        <w:t xml:space="preserve">n HALO? </w:t>
      </w:r>
    </w:p>
    <w:p w14:paraId="66C64A09" w14:textId="2A15EDBC" w:rsidR="00DB1E64" w:rsidRPr="00DB1E64" w:rsidRDefault="00DB1E64" w:rsidP="00DB1E64">
      <w:pPr>
        <w:pStyle w:val="ListParagraph"/>
        <w:numPr>
          <w:ilvl w:val="0"/>
          <w:numId w:val="1"/>
        </w:numPr>
        <w:rPr>
          <w:rFonts w:ascii="Arial" w:hAnsi="Arial" w:cs="Arial"/>
        </w:rPr>
      </w:pPr>
      <w:r w:rsidRPr="00DB1E64">
        <w:rPr>
          <w:rFonts w:ascii="Arial" w:hAnsi="Arial" w:cs="Arial"/>
        </w:rPr>
        <w:t>Check HALO user guides (</w:t>
      </w:r>
      <w:hyperlink r:id="rId10" w:history="1">
        <w:r w:rsidRPr="00DB1E64">
          <w:rPr>
            <w:rStyle w:val="Hyperlink"/>
            <w:rFonts w:ascii="Arial" w:hAnsi="Arial" w:cs="Arial"/>
          </w:rPr>
          <w:t>https://learn.indicalab.com/tag/halo-user-guides/</w:t>
        </w:r>
      </w:hyperlink>
      <w:r w:rsidRPr="00DB1E64">
        <w:rPr>
          <w:rFonts w:ascii="Arial" w:hAnsi="Arial" w:cs="Arial"/>
        </w:rPr>
        <w:t xml:space="preserve">) </w:t>
      </w:r>
    </w:p>
    <w:p w14:paraId="1736DF09" w14:textId="67F2F8D2" w:rsidR="00DB1E64" w:rsidRPr="00DB1E64" w:rsidRDefault="00DB1E64" w:rsidP="00DB1E64">
      <w:pPr>
        <w:pStyle w:val="ListParagraph"/>
        <w:numPr>
          <w:ilvl w:val="0"/>
          <w:numId w:val="1"/>
        </w:numPr>
        <w:rPr>
          <w:rFonts w:ascii="Arial" w:hAnsi="Arial" w:cs="Arial"/>
        </w:rPr>
      </w:pPr>
      <w:r w:rsidRPr="00DB1E64">
        <w:rPr>
          <w:rFonts w:ascii="Arial" w:hAnsi="Arial" w:cs="Arial"/>
        </w:rPr>
        <w:t>Check Indica Labs online learning portal (</w:t>
      </w:r>
      <w:hyperlink r:id="rId11" w:history="1">
        <w:r w:rsidRPr="00DB1E64">
          <w:rPr>
            <w:rStyle w:val="Hyperlink"/>
            <w:rFonts w:ascii="Arial" w:hAnsi="Arial" w:cs="Arial"/>
          </w:rPr>
          <w:t>https://learn.indicalab.com/</w:t>
        </w:r>
      </w:hyperlink>
      <w:r w:rsidRPr="00DB1E64">
        <w:rPr>
          <w:rFonts w:ascii="Arial" w:hAnsi="Arial" w:cs="Arial"/>
        </w:rPr>
        <w:t xml:space="preserve">) for tutorial videos, webinars and technical documentation </w:t>
      </w:r>
    </w:p>
    <w:p w14:paraId="3100EEF3" w14:textId="6626317F" w:rsidR="00BD0B6A" w:rsidRPr="00DB1E64" w:rsidRDefault="00BD0B6A" w:rsidP="00DB1E64">
      <w:pPr>
        <w:rPr>
          <w:rFonts w:ascii="Arial" w:hAnsi="Arial" w:cs="Arial"/>
        </w:rPr>
      </w:pPr>
      <w:r w:rsidRPr="00DB1E64">
        <w:rPr>
          <w:rFonts w:ascii="Arial" w:hAnsi="Arial" w:cs="Arial"/>
          <w:i/>
          <w:iCs/>
        </w:rPr>
        <w:t>Need help with algorithm development?</w:t>
      </w:r>
      <w:r w:rsidRPr="00DB1E64">
        <w:rPr>
          <w:rFonts w:ascii="Arial" w:hAnsi="Arial" w:cs="Arial"/>
        </w:rPr>
        <w:t xml:space="preserve"> Contact Nathalia Kim</w:t>
      </w:r>
      <w:r w:rsidR="00DB1E64" w:rsidRPr="00DB1E64">
        <w:rPr>
          <w:rFonts w:ascii="Arial" w:hAnsi="Arial" w:cs="Arial"/>
        </w:rPr>
        <w:t xml:space="preserve"> </w:t>
      </w:r>
      <w:r w:rsidRPr="00DB1E64">
        <w:rPr>
          <w:rFonts w:ascii="Arial" w:hAnsi="Arial" w:cs="Arial"/>
        </w:rPr>
        <w:t>(</w:t>
      </w:r>
      <w:hyperlink r:id="rId12" w:history="1">
        <w:r w:rsidRPr="00DB1E64">
          <w:rPr>
            <w:rStyle w:val="Hyperlink"/>
            <w:rFonts w:ascii="Arial" w:hAnsi="Arial" w:cs="Arial"/>
          </w:rPr>
          <w:t>kim.n@queensu.ca</w:t>
        </w:r>
      </w:hyperlink>
      <w:r w:rsidRPr="00DB1E64">
        <w:rPr>
          <w:rFonts w:ascii="Arial" w:hAnsi="Arial" w:cs="Arial"/>
        </w:rPr>
        <w:t>)</w:t>
      </w:r>
    </w:p>
    <w:p w14:paraId="160E23EC" w14:textId="41050A1A" w:rsidR="001D4972" w:rsidRPr="001D4972" w:rsidRDefault="001D4972" w:rsidP="001D4972">
      <w:pPr>
        <w:rPr>
          <w:rFonts w:ascii="Arial" w:hAnsi="Arial" w:cs="Arial"/>
          <w:b/>
          <w:bCs/>
          <w:u w:val="single"/>
        </w:rPr>
      </w:pPr>
      <w:r w:rsidRPr="001D4972">
        <w:rPr>
          <w:rFonts w:ascii="Arial" w:hAnsi="Arial" w:cs="Arial"/>
          <w:noProof/>
          <w:lang w:val="fr-FR"/>
        </w:rPr>
        <w:drawing>
          <wp:anchor distT="0" distB="0" distL="114300" distR="114300" simplePos="0" relativeHeight="251658240" behindDoc="1" locked="0" layoutInCell="1" allowOverlap="1" wp14:anchorId="69A9CB00" wp14:editId="25BBD7C4">
            <wp:simplePos x="0" y="0"/>
            <wp:positionH relativeFrom="column">
              <wp:posOffset>4239895</wp:posOffset>
            </wp:positionH>
            <wp:positionV relativeFrom="paragraph">
              <wp:posOffset>260350</wp:posOffset>
            </wp:positionV>
            <wp:extent cx="2138680" cy="1387475"/>
            <wp:effectExtent l="0" t="0" r="0" b="3175"/>
            <wp:wrapTight wrapText="bothSides">
              <wp:wrapPolygon edited="0">
                <wp:start x="0" y="0"/>
                <wp:lineTo x="0" y="21353"/>
                <wp:lineTo x="21356" y="21353"/>
                <wp:lineTo x="21356" y="0"/>
                <wp:lineTo x="0" y="0"/>
              </wp:wrapPolygon>
            </wp:wrapTight>
            <wp:docPr id="1962241720" name="Picture 1" descr="A close-up of a microscope sl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241720" name="Picture 1" descr="A close-up of a microscope slid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38680" cy="1387475"/>
                    </a:xfrm>
                    <a:prstGeom prst="rect">
                      <a:avLst/>
                    </a:prstGeom>
                  </pic:spPr>
                </pic:pic>
              </a:graphicData>
            </a:graphic>
            <wp14:sizeRelH relativeFrom="margin">
              <wp14:pctWidth>0</wp14:pctWidth>
            </wp14:sizeRelH>
            <wp14:sizeRelV relativeFrom="margin">
              <wp14:pctHeight>0</wp14:pctHeight>
            </wp14:sizeRelV>
          </wp:anchor>
        </w:drawing>
      </w:r>
      <w:r w:rsidR="000A7A5F" w:rsidRPr="001D4972">
        <w:rPr>
          <w:rFonts w:ascii="Arial" w:hAnsi="Arial" w:cs="Arial"/>
          <w:b/>
          <w:bCs/>
          <w:u w:val="single"/>
        </w:rPr>
        <w:t>HALO Available Modules</w:t>
      </w:r>
      <w:r w:rsidR="00327300" w:rsidRPr="001D4972">
        <w:rPr>
          <w:rFonts w:ascii="Arial" w:hAnsi="Arial" w:cs="Arial"/>
          <w:b/>
          <w:bCs/>
          <w:u w:val="single"/>
        </w:rPr>
        <w:t xml:space="preserve">/Algorithms </w:t>
      </w:r>
    </w:p>
    <w:p w14:paraId="7C3B0AEE" w14:textId="6B2EF8D0" w:rsidR="00327300" w:rsidRPr="001D4972" w:rsidRDefault="00000000" w:rsidP="001D4972">
      <w:pPr>
        <w:rPr>
          <w:rFonts w:ascii="Arial" w:hAnsi="Arial" w:cs="Arial"/>
        </w:rPr>
      </w:pPr>
      <w:hyperlink r:id="rId14" w:history="1">
        <w:r w:rsidR="001D4972" w:rsidRPr="00A90FCA">
          <w:rPr>
            <w:rStyle w:val="Hyperlink"/>
            <w:rFonts w:ascii="Arial" w:hAnsi="Arial" w:cs="Arial"/>
            <w:b/>
            <w:bCs/>
          </w:rPr>
          <w:t>Tissue Classification</w:t>
        </w:r>
      </w:hyperlink>
      <w:r w:rsidR="001D4972">
        <w:rPr>
          <w:rFonts w:ascii="Arial" w:hAnsi="Arial" w:cs="Arial"/>
        </w:rPr>
        <w:t>: U</w:t>
      </w:r>
      <w:r w:rsidR="001D4972" w:rsidRPr="001D4972">
        <w:rPr>
          <w:rFonts w:ascii="Arial" w:hAnsi="Arial" w:cs="Arial"/>
        </w:rPr>
        <w:t>tilizes a</w:t>
      </w:r>
      <w:r w:rsidR="001D4972">
        <w:rPr>
          <w:rFonts w:ascii="Arial" w:hAnsi="Arial" w:cs="Arial"/>
        </w:rPr>
        <w:t xml:space="preserve"> </w:t>
      </w:r>
      <w:r w:rsidR="001D4972" w:rsidRPr="001D4972">
        <w:rPr>
          <w:rFonts w:ascii="Arial" w:hAnsi="Arial" w:cs="Arial"/>
        </w:rPr>
        <w:t>state-of-the-art machine</w:t>
      </w:r>
      <w:r w:rsidR="001D4972">
        <w:rPr>
          <w:rFonts w:ascii="Arial" w:hAnsi="Arial" w:cs="Arial"/>
        </w:rPr>
        <w:t xml:space="preserve"> </w:t>
      </w:r>
      <w:r w:rsidR="001D4972" w:rsidRPr="001D4972">
        <w:rPr>
          <w:rFonts w:ascii="Arial" w:hAnsi="Arial" w:cs="Arial"/>
        </w:rPr>
        <w:t xml:space="preserve">learning algorithm to identify tissue types based on color, texture, and contextual features.  </w:t>
      </w:r>
      <w:r w:rsidR="001D4972">
        <w:rPr>
          <w:rFonts w:ascii="Arial" w:hAnsi="Arial" w:cs="Arial"/>
        </w:rPr>
        <w:t>With</w:t>
      </w:r>
      <w:r w:rsidR="001D4972" w:rsidRPr="001D4972">
        <w:rPr>
          <w:rFonts w:ascii="Arial" w:hAnsi="Arial" w:cs="Arial"/>
        </w:rPr>
        <w:t xml:space="preserve"> a “learn-by-example” approach, the user highlights a few distinct tissue types and the software learns to categorize tissue</w:t>
      </w:r>
    </w:p>
    <w:p w14:paraId="733B61B2" w14:textId="1D6CDBBC" w:rsidR="001D4972" w:rsidRPr="001D4972" w:rsidRDefault="001D4972" w:rsidP="00E71740">
      <w:pPr>
        <w:ind w:left="720" w:hanging="720"/>
        <w:rPr>
          <w:rFonts w:ascii="Arial" w:hAnsi="Arial" w:cs="Arial"/>
        </w:rPr>
      </w:pPr>
    </w:p>
    <w:p w14:paraId="4F6A5C40" w14:textId="1DF1F015" w:rsidR="001D4972" w:rsidRPr="001D4972" w:rsidRDefault="001D4972" w:rsidP="00E71740">
      <w:pPr>
        <w:ind w:left="720" w:hanging="720"/>
        <w:rPr>
          <w:rFonts w:ascii="Arial" w:hAnsi="Arial" w:cs="Arial"/>
        </w:rPr>
      </w:pPr>
    </w:p>
    <w:p w14:paraId="30EC170E" w14:textId="77777777" w:rsidR="00A90FCA" w:rsidRDefault="006860CF" w:rsidP="0027259F">
      <w:pPr>
        <w:rPr>
          <w:rFonts w:ascii="Arial" w:hAnsi="Arial" w:cs="Arial"/>
        </w:rPr>
      </w:pPr>
      <w:r w:rsidRPr="001D4972">
        <w:rPr>
          <w:rFonts w:ascii="Arial" w:hAnsi="Arial" w:cs="Arial"/>
          <w:noProof/>
          <w:lang w:val="fr-FR"/>
        </w:rPr>
        <w:drawing>
          <wp:anchor distT="0" distB="0" distL="114300" distR="114300" simplePos="0" relativeHeight="251659264" behindDoc="1" locked="0" layoutInCell="1" allowOverlap="1" wp14:anchorId="09754A45" wp14:editId="7A862B14">
            <wp:simplePos x="0" y="0"/>
            <wp:positionH relativeFrom="margin">
              <wp:posOffset>4463995</wp:posOffset>
            </wp:positionH>
            <wp:positionV relativeFrom="paragraph">
              <wp:posOffset>17283</wp:posOffset>
            </wp:positionV>
            <wp:extent cx="1900555" cy="1367790"/>
            <wp:effectExtent l="0" t="0" r="4445" b="3810"/>
            <wp:wrapTight wrapText="bothSides">
              <wp:wrapPolygon edited="0">
                <wp:start x="0" y="0"/>
                <wp:lineTo x="0" y="21359"/>
                <wp:lineTo x="21434" y="21359"/>
                <wp:lineTo x="21434" y="0"/>
                <wp:lineTo x="0" y="0"/>
              </wp:wrapPolygon>
            </wp:wrapTight>
            <wp:docPr id="575077268" name="Picture 1" descr="A map of the united states of americ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077268" name="Picture 1" descr="A map of the united states of america&#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00555" cy="1367790"/>
                    </a:xfrm>
                    <a:prstGeom prst="rect">
                      <a:avLst/>
                    </a:prstGeom>
                  </pic:spPr>
                </pic:pic>
              </a:graphicData>
            </a:graphic>
            <wp14:sizeRelH relativeFrom="margin">
              <wp14:pctWidth>0</wp14:pctWidth>
            </wp14:sizeRelH>
            <wp14:sizeRelV relativeFrom="margin">
              <wp14:pctHeight>0</wp14:pctHeight>
            </wp14:sizeRelV>
          </wp:anchor>
        </w:drawing>
      </w:r>
      <w:r w:rsidRPr="006860CF">
        <w:rPr>
          <w:rFonts w:ascii="Arial" w:hAnsi="Arial" w:cs="Arial"/>
          <w:noProof/>
        </w:rPr>
        <w:drawing>
          <wp:anchor distT="0" distB="0" distL="114300" distR="114300" simplePos="0" relativeHeight="251667456" behindDoc="0" locked="0" layoutInCell="1" allowOverlap="1" wp14:anchorId="1C7F5C82" wp14:editId="391A7510">
            <wp:simplePos x="0" y="0"/>
            <wp:positionH relativeFrom="margin">
              <wp:align>left</wp:align>
            </wp:positionH>
            <wp:positionV relativeFrom="paragraph">
              <wp:posOffset>429260</wp:posOffset>
            </wp:positionV>
            <wp:extent cx="2500630" cy="1243330"/>
            <wp:effectExtent l="0" t="0" r="0" b="0"/>
            <wp:wrapSquare wrapText="bothSides"/>
            <wp:docPr id="358350540" name="Picture 1" descr="A close-up of a brain tiss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350540" name="Picture 1" descr="A close-up of a brain tissu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00630" cy="1243330"/>
                    </a:xfrm>
                    <a:prstGeom prst="rect">
                      <a:avLst/>
                    </a:prstGeom>
                  </pic:spPr>
                </pic:pic>
              </a:graphicData>
            </a:graphic>
            <wp14:sizeRelH relativeFrom="margin">
              <wp14:pctWidth>0</wp14:pctWidth>
            </wp14:sizeRelH>
            <wp14:sizeRelV relativeFrom="margin">
              <wp14:pctHeight>0</wp14:pctHeight>
            </wp14:sizeRelV>
          </wp:anchor>
        </w:drawing>
      </w:r>
      <w:hyperlink r:id="rId17" w:history="1">
        <w:r w:rsidR="00327300" w:rsidRPr="006860CF">
          <w:rPr>
            <w:rStyle w:val="Hyperlink"/>
            <w:rFonts w:ascii="Arial" w:hAnsi="Arial" w:cs="Arial"/>
            <w:b/>
            <w:bCs/>
          </w:rPr>
          <w:t xml:space="preserve">TMA </w:t>
        </w:r>
        <w:r w:rsidR="00401939" w:rsidRPr="006860CF">
          <w:rPr>
            <w:rStyle w:val="Hyperlink"/>
            <w:rFonts w:ascii="Arial" w:hAnsi="Arial" w:cs="Arial"/>
            <w:b/>
            <w:bCs/>
          </w:rPr>
          <w:t>(Tissue Microarray</w:t>
        </w:r>
        <w:r w:rsidR="00E84B24" w:rsidRPr="006860CF">
          <w:rPr>
            <w:rStyle w:val="Hyperlink"/>
            <w:rFonts w:ascii="Arial" w:hAnsi="Arial" w:cs="Arial"/>
            <w:b/>
            <w:bCs/>
          </w:rPr>
          <w:t>)</w:t>
        </w:r>
      </w:hyperlink>
      <w:r w:rsidR="00E84B24" w:rsidRPr="00E84B24">
        <w:rPr>
          <w:rFonts w:ascii="Arial" w:hAnsi="Arial" w:cs="Arial"/>
        </w:rPr>
        <w:t xml:space="preserve">: </w:t>
      </w:r>
      <w:r w:rsidR="00E84B24">
        <w:rPr>
          <w:rFonts w:ascii="Arial" w:hAnsi="Arial" w:cs="Arial"/>
        </w:rPr>
        <w:t>P</w:t>
      </w:r>
      <w:r w:rsidR="00E84B24" w:rsidRPr="00E84B24">
        <w:rPr>
          <w:rFonts w:ascii="Arial" w:hAnsi="Arial" w:cs="Arial"/>
        </w:rPr>
        <w:t xml:space="preserve">rovides a productivity-enhancing workflow for tissue microarray analysis by enabling automated, high-throughput, segmentation and batch analysis of whole slide TMA images.  </w:t>
      </w:r>
      <w:r w:rsidR="00E84B24">
        <w:rPr>
          <w:rFonts w:ascii="Arial" w:hAnsi="Arial" w:cs="Arial"/>
        </w:rPr>
        <w:t>It</w:t>
      </w:r>
      <w:r w:rsidR="00E84B24" w:rsidRPr="00E84B24">
        <w:rPr>
          <w:rFonts w:ascii="Arial" w:hAnsi="Arial" w:cs="Arial"/>
        </w:rPr>
        <w:t xml:space="preserve"> can be used in conjunction with any of </w:t>
      </w:r>
      <w:r>
        <w:rPr>
          <w:rFonts w:ascii="Arial" w:hAnsi="Arial" w:cs="Arial"/>
        </w:rPr>
        <w:t>the</w:t>
      </w:r>
      <w:r w:rsidR="00E84B24" w:rsidRPr="00E84B24">
        <w:rPr>
          <w:rFonts w:ascii="Arial" w:hAnsi="Arial" w:cs="Arial"/>
        </w:rPr>
        <w:t xml:space="preserve"> cell-based analysis modules for brightfield or fluorescence, as well as </w:t>
      </w:r>
      <w:r>
        <w:rPr>
          <w:rFonts w:ascii="Arial" w:hAnsi="Arial" w:cs="Arial"/>
        </w:rPr>
        <w:t>the</w:t>
      </w:r>
      <w:r w:rsidR="00E84B24" w:rsidRPr="00E84B24">
        <w:rPr>
          <w:rFonts w:ascii="Arial" w:hAnsi="Arial" w:cs="Arial"/>
        </w:rPr>
        <w:t xml:space="preserve"> tissue classifier add-on for automated tumor detection</w:t>
      </w:r>
      <w:r>
        <w:rPr>
          <w:rFonts w:ascii="Arial" w:hAnsi="Arial" w:cs="Arial"/>
        </w:rPr>
        <w:t>.</w:t>
      </w:r>
    </w:p>
    <w:p w14:paraId="616A73D7" w14:textId="48D510A3" w:rsidR="0027259F" w:rsidRPr="00A90FCA" w:rsidRDefault="00683C09" w:rsidP="0027259F">
      <w:pPr>
        <w:rPr>
          <w:rFonts w:ascii="Arial" w:hAnsi="Arial" w:cs="Arial"/>
        </w:rPr>
      </w:pPr>
      <w:r w:rsidRPr="0027259F">
        <w:rPr>
          <w:rFonts w:ascii="Arial" w:hAnsi="Arial" w:cs="Arial"/>
          <w:b/>
          <w:bCs/>
          <w:noProof/>
        </w:rPr>
        <w:lastRenderedPageBreak/>
        <w:drawing>
          <wp:anchor distT="0" distB="0" distL="114300" distR="114300" simplePos="0" relativeHeight="251660288" behindDoc="0" locked="0" layoutInCell="1" allowOverlap="1" wp14:anchorId="58473C91" wp14:editId="494BF916">
            <wp:simplePos x="0" y="0"/>
            <wp:positionH relativeFrom="column">
              <wp:posOffset>4104640</wp:posOffset>
            </wp:positionH>
            <wp:positionV relativeFrom="paragraph">
              <wp:posOffset>62865</wp:posOffset>
            </wp:positionV>
            <wp:extent cx="2321560" cy="1359535"/>
            <wp:effectExtent l="0" t="0" r="2540" b="0"/>
            <wp:wrapSquare wrapText="bothSides"/>
            <wp:docPr id="678622055" name="Picture 1" descr="A close-up of a red and green pa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22055" name="Picture 1" descr="A close-up of a red and green pain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21560" cy="1359535"/>
                    </a:xfrm>
                    <a:prstGeom prst="rect">
                      <a:avLst/>
                    </a:prstGeom>
                  </pic:spPr>
                </pic:pic>
              </a:graphicData>
            </a:graphic>
            <wp14:sizeRelH relativeFrom="margin">
              <wp14:pctWidth>0</wp14:pctWidth>
            </wp14:sizeRelH>
            <wp14:sizeRelV relativeFrom="margin">
              <wp14:pctHeight>0</wp14:pctHeight>
            </wp14:sizeRelV>
          </wp:anchor>
        </w:drawing>
      </w:r>
      <w:r w:rsidRPr="0055398B">
        <w:rPr>
          <w:rFonts w:ascii="Arial" w:hAnsi="Arial" w:cs="Arial"/>
          <w:noProof/>
        </w:rPr>
        <w:drawing>
          <wp:anchor distT="0" distB="0" distL="114300" distR="114300" simplePos="0" relativeHeight="251661312" behindDoc="0" locked="0" layoutInCell="1" allowOverlap="1" wp14:anchorId="3C0BD98E" wp14:editId="7093FDC8">
            <wp:simplePos x="0" y="0"/>
            <wp:positionH relativeFrom="margin">
              <wp:align>left</wp:align>
            </wp:positionH>
            <wp:positionV relativeFrom="paragraph">
              <wp:posOffset>770044</wp:posOffset>
            </wp:positionV>
            <wp:extent cx="2183130" cy="1280160"/>
            <wp:effectExtent l="0" t="0" r="7620" b="0"/>
            <wp:wrapSquare wrapText="bothSides"/>
            <wp:docPr id="1763052468" name="Picture 1" descr="A close-up of a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052468" name="Picture 1" descr="A close-up of a fish&#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96905" cy="1288140"/>
                    </a:xfrm>
                    <a:prstGeom prst="rect">
                      <a:avLst/>
                    </a:prstGeom>
                  </pic:spPr>
                </pic:pic>
              </a:graphicData>
            </a:graphic>
            <wp14:sizeRelH relativeFrom="margin">
              <wp14:pctWidth>0</wp14:pctWidth>
            </wp14:sizeRelH>
            <wp14:sizeRelV relativeFrom="margin">
              <wp14:pctHeight>0</wp14:pctHeight>
            </wp14:sizeRelV>
          </wp:anchor>
        </w:drawing>
      </w:r>
      <w:hyperlink r:id="rId20" w:history="1">
        <w:r w:rsidR="0027259F" w:rsidRPr="00683C09">
          <w:rPr>
            <w:rStyle w:val="Hyperlink"/>
            <w:rFonts w:ascii="Arial" w:hAnsi="Arial" w:cs="Arial"/>
            <w:b/>
            <w:bCs/>
          </w:rPr>
          <w:t>Area Quantification</w:t>
        </w:r>
      </w:hyperlink>
      <w:r w:rsidR="0027259F">
        <w:rPr>
          <w:rFonts w:ascii="Arial" w:hAnsi="Arial" w:cs="Arial"/>
        </w:rPr>
        <w:t xml:space="preserve">: Quantifies brightfield </w:t>
      </w:r>
      <w:r w:rsidR="006E64D1">
        <w:rPr>
          <w:rFonts w:ascii="Arial" w:hAnsi="Arial" w:cs="Arial"/>
        </w:rPr>
        <w:t xml:space="preserve">stains or </w:t>
      </w:r>
      <w:r w:rsidR="0055398B">
        <w:rPr>
          <w:rFonts w:ascii="Arial" w:hAnsi="Arial" w:cs="Arial"/>
        </w:rPr>
        <w:t>fluorescent dyes</w:t>
      </w:r>
      <w:r w:rsidR="0027259F">
        <w:rPr>
          <w:rFonts w:ascii="Arial" w:hAnsi="Arial" w:cs="Arial"/>
        </w:rPr>
        <w:t xml:space="preserve"> on a per area rather </w:t>
      </w:r>
      <w:r w:rsidR="0027259F" w:rsidRPr="0027259F">
        <w:rPr>
          <w:rFonts w:ascii="Arial" w:hAnsi="Arial" w:cs="Arial"/>
        </w:rPr>
        <w:t>than per cell or object basis. It is a flexible alternative for analyzing tissues where cell structure cannot</w:t>
      </w:r>
      <w:r w:rsidR="0027259F">
        <w:rPr>
          <w:rFonts w:ascii="Arial" w:hAnsi="Arial" w:cs="Arial"/>
        </w:rPr>
        <w:t xml:space="preserve"> </w:t>
      </w:r>
      <w:r w:rsidR="0027259F" w:rsidRPr="0027259F">
        <w:rPr>
          <w:rFonts w:ascii="Arial" w:hAnsi="Arial" w:cs="Arial"/>
        </w:rPr>
        <w:t>be readily identified or where tissue area-based outputs are more reliable or meaningful measure. Area Quantification quantifies and reports stain positive area, average stain optical density for each stain, binned positivity based on optical density (0, 1+, 2+ and 3+), and area of colocalization (when multiple stains are analyzed).</w:t>
      </w:r>
      <w:r w:rsidR="0055398B">
        <w:rPr>
          <w:rFonts w:ascii="Arial" w:hAnsi="Arial" w:cs="Arial"/>
        </w:rPr>
        <w:t xml:space="preserve"> </w:t>
      </w:r>
    </w:p>
    <w:p w14:paraId="488F3050" w14:textId="0AF56C2E" w:rsidR="00F847F4" w:rsidRDefault="00683C09" w:rsidP="00F847F4">
      <w:pPr>
        <w:rPr>
          <w:rFonts w:ascii="Arial" w:hAnsi="Arial" w:cs="Arial"/>
        </w:rPr>
      </w:pPr>
      <w:r w:rsidRPr="0090735C">
        <w:rPr>
          <w:rFonts w:ascii="Arial" w:hAnsi="Arial" w:cs="Arial"/>
          <w:noProof/>
        </w:rPr>
        <w:drawing>
          <wp:anchor distT="0" distB="0" distL="114300" distR="114300" simplePos="0" relativeHeight="251662336" behindDoc="0" locked="0" layoutInCell="1" allowOverlap="1" wp14:anchorId="3B9ABCAA" wp14:editId="0443D95C">
            <wp:simplePos x="0" y="0"/>
            <wp:positionH relativeFrom="margin">
              <wp:align>right</wp:align>
            </wp:positionH>
            <wp:positionV relativeFrom="paragraph">
              <wp:posOffset>274955</wp:posOffset>
            </wp:positionV>
            <wp:extent cx="2374265" cy="1387475"/>
            <wp:effectExtent l="0" t="0" r="6985" b="3175"/>
            <wp:wrapSquare wrapText="bothSides"/>
            <wp:docPr id="74439409" name="Picture 1"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39409" name="Picture 1" descr="A close-up of a microscop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74265" cy="1387475"/>
                    </a:xfrm>
                    <a:prstGeom prst="rect">
                      <a:avLst/>
                    </a:prstGeom>
                  </pic:spPr>
                </pic:pic>
              </a:graphicData>
            </a:graphic>
            <wp14:sizeRelH relativeFrom="margin">
              <wp14:pctWidth>0</wp14:pctWidth>
            </wp14:sizeRelH>
            <wp14:sizeRelV relativeFrom="margin">
              <wp14:pctHeight>0</wp14:pctHeight>
            </wp14:sizeRelV>
          </wp:anchor>
        </w:drawing>
      </w:r>
      <w:r w:rsidR="00F847F4">
        <w:rPr>
          <w:rFonts w:ascii="Arial" w:hAnsi="Arial" w:cs="Arial"/>
        </w:rPr>
        <w:t xml:space="preserve">   </w:t>
      </w:r>
    </w:p>
    <w:p w14:paraId="240F2E6C" w14:textId="52A7D078" w:rsidR="00453154" w:rsidRDefault="008A29FC" w:rsidP="00453154">
      <w:pPr>
        <w:rPr>
          <w:rFonts w:ascii="Arial" w:hAnsi="Arial" w:cs="Arial"/>
        </w:rPr>
      </w:pPr>
      <w:r w:rsidRPr="0090735C">
        <w:rPr>
          <w:rFonts w:ascii="Arial" w:hAnsi="Arial" w:cs="Arial"/>
          <w:noProof/>
        </w:rPr>
        <w:drawing>
          <wp:anchor distT="0" distB="0" distL="114300" distR="114300" simplePos="0" relativeHeight="251663360" behindDoc="0" locked="0" layoutInCell="1" allowOverlap="1" wp14:anchorId="2A29DEA4" wp14:editId="7E27B4D8">
            <wp:simplePos x="0" y="0"/>
            <wp:positionH relativeFrom="margin">
              <wp:align>left</wp:align>
            </wp:positionH>
            <wp:positionV relativeFrom="paragraph">
              <wp:posOffset>1297940</wp:posOffset>
            </wp:positionV>
            <wp:extent cx="2308860" cy="1355090"/>
            <wp:effectExtent l="0" t="0" r="0" b="0"/>
            <wp:wrapSquare wrapText="bothSides"/>
            <wp:docPr id="534293172" name="Picture 1"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293172" name="Picture 1" descr="A close-up of a microscop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08860" cy="1355090"/>
                    </a:xfrm>
                    <a:prstGeom prst="rect">
                      <a:avLst/>
                    </a:prstGeom>
                  </pic:spPr>
                </pic:pic>
              </a:graphicData>
            </a:graphic>
            <wp14:sizeRelH relativeFrom="margin">
              <wp14:pctWidth>0</wp14:pctWidth>
            </wp14:sizeRelH>
            <wp14:sizeRelV relativeFrom="margin">
              <wp14:pctHeight>0</wp14:pctHeight>
            </wp14:sizeRelV>
          </wp:anchor>
        </w:drawing>
      </w:r>
      <w:hyperlink r:id="rId23" w:history="1">
        <w:r w:rsidR="00F847F4" w:rsidRPr="008B6649">
          <w:rPr>
            <w:rStyle w:val="Hyperlink"/>
            <w:rFonts w:ascii="Arial" w:hAnsi="Arial" w:cs="Arial"/>
            <w:b/>
            <w:bCs/>
          </w:rPr>
          <w:t>CytoNuclear</w:t>
        </w:r>
      </w:hyperlink>
      <w:r w:rsidR="00F847F4">
        <w:rPr>
          <w:rFonts w:ascii="Arial" w:hAnsi="Arial" w:cs="Arial"/>
        </w:rPr>
        <w:t xml:space="preserve">: </w:t>
      </w:r>
      <w:r w:rsidR="00F847F4" w:rsidRPr="00F847F4">
        <w:rPr>
          <w:rFonts w:ascii="Arial" w:hAnsi="Arial" w:cs="Arial"/>
        </w:rPr>
        <w:t>The Cytonuclear module measures cell-by-cell positivity for single or multi stain</w:t>
      </w:r>
      <w:r w:rsidR="00216E26">
        <w:rPr>
          <w:rFonts w:ascii="Arial" w:hAnsi="Arial" w:cs="Arial"/>
        </w:rPr>
        <w:t xml:space="preserve"> </w:t>
      </w:r>
      <w:r w:rsidR="00F847F4" w:rsidRPr="00F847F4">
        <w:rPr>
          <w:rFonts w:ascii="Arial" w:hAnsi="Arial" w:cs="Arial"/>
        </w:rPr>
        <w:t>applications. Each cell is measured for cytoplasmic or nuclear positivity of every individual stain as well</w:t>
      </w:r>
      <w:r w:rsidR="00F847F4">
        <w:rPr>
          <w:rFonts w:ascii="Arial" w:hAnsi="Arial" w:cs="Arial"/>
        </w:rPr>
        <w:t xml:space="preserve"> </w:t>
      </w:r>
      <w:r w:rsidR="00F847F4" w:rsidRPr="00F847F4">
        <w:rPr>
          <w:rFonts w:ascii="Arial" w:hAnsi="Arial" w:cs="Arial"/>
        </w:rPr>
        <w:t>as the colocalization of different marker combinations. Positive cells are binned and assigned an intensity score (0, 1+, 2+, and 3+) based on stain optical density. The module also reports a variety of other metrics relating to cell/nuclear size and stain intensity. Optionally, the tool can output the complete table of cell data including individual cell sizes and optical density measurements for each stain in each cellular compartment. This module has the option to define specific cell phenotypes according to marker positivity, allowing users to define and count specific cell populations based off of defined positivity and negativity rules.</w:t>
      </w:r>
      <w:r w:rsidR="0090735C">
        <w:rPr>
          <w:rFonts w:ascii="Arial" w:hAnsi="Arial" w:cs="Arial"/>
        </w:rPr>
        <w:t xml:space="preserve"> </w:t>
      </w:r>
    </w:p>
    <w:p w14:paraId="4DAFE3DF" w14:textId="1533CF58" w:rsidR="00453154" w:rsidRDefault="00453154" w:rsidP="00453154">
      <w:pPr>
        <w:rPr>
          <w:rFonts w:ascii="Arial" w:hAnsi="Arial" w:cs="Arial"/>
        </w:rPr>
      </w:pPr>
    </w:p>
    <w:p w14:paraId="6819FC98" w14:textId="3339DB57" w:rsidR="00453154" w:rsidRDefault="00683C09" w:rsidP="00683C09">
      <w:pPr>
        <w:rPr>
          <w:rFonts w:ascii="Arial" w:hAnsi="Arial" w:cs="Arial"/>
        </w:rPr>
      </w:pPr>
      <w:r w:rsidRPr="00683C09">
        <w:rPr>
          <w:rFonts w:ascii="Arial" w:hAnsi="Arial" w:cs="Arial"/>
          <w:noProof/>
        </w:rPr>
        <w:drawing>
          <wp:anchor distT="0" distB="0" distL="114300" distR="114300" simplePos="0" relativeHeight="251665408" behindDoc="0" locked="0" layoutInCell="1" allowOverlap="1" wp14:anchorId="3C843C16" wp14:editId="2BA2DE46">
            <wp:simplePos x="0" y="0"/>
            <wp:positionH relativeFrom="margin">
              <wp:posOffset>13335</wp:posOffset>
            </wp:positionH>
            <wp:positionV relativeFrom="paragraph">
              <wp:posOffset>772160</wp:posOffset>
            </wp:positionV>
            <wp:extent cx="2305685" cy="1489710"/>
            <wp:effectExtent l="0" t="0" r="0" b="0"/>
            <wp:wrapSquare wrapText="bothSides"/>
            <wp:docPr id="142388842" name="Picture 1"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88842" name="Picture 1" descr="A collage of images of different colors&#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05685" cy="1489710"/>
                    </a:xfrm>
                    <a:prstGeom prst="rect">
                      <a:avLst/>
                    </a:prstGeom>
                  </pic:spPr>
                </pic:pic>
              </a:graphicData>
            </a:graphic>
            <wp14:sizeRelH relativeFrom="margin">
              <wp14:pctWidth>0</wp14:pctWidth>
            </wp14:sizeRelH>
            <wp14:sizeRelV relativeFrom="margin">
              <wp14:pctHeight>0</wp14:pctHeight>
            </wp14:sizeRelV>
          </wp:anchor>
        </w:drawing>
      </w:r>
      <w:r w:rsidRPr="00453154">
        <w:rPr>
          <w:rFonts w:ascii="Arial" w:hAnsi="Arial" w:cs="Arial"/>
          <w:noProof/>
        </w:rPr>
        <w:drawing>
          <wp:anchor distT="0" distB="0" distL="114300" distR="114300" simplePos="0" relativeHeight="251664384" behindDoc="0" locked="0" layoutInCell="1" allowOverlap="1" wp14:anchorId="148DA29A" wp14:editId="3C8E3289">
            <wp:simplePos x="0" y="0"/>
            <wp:positionH relativeFrom="column">
              <wp:posOffset>4084955</wp:posOffset>
            </wp:positionH>
            <wp:positionV relativeFrom="paragraph">
              <wp:posOffset>4445</wp:posOffset>
            </wp:positionV>
            <wp:extent cx="2261870" cy="1454785"/>
            <wp:effectExtent l="0" t="0" r="5080" b="0"/>
            <wp:wrapSquare wrapText="bothSides"/>
            <wp:docPr id="561079822" name="Picture 1" descr="A collage of imag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79822" name="Picture 1" descr="A collage of images of cells&#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61870" cy="1454785"/>
                    </a:xfrm>
                    <a:prstGeom prst="rect">
                      <a:avLst/>
                    </a:prstGeom>
                  </pic:spPr>
                </pic:pic>
              </a:graphicData>
            </a:graphic>
            <wp14:sizeRelH relativeFrom="margin">
              <wp14:pctWidth>0</wp14:pctWidth>
            </wp14:sizeRelH>
            <wp14:sizeRelV relativeFrom="margin">
              <wp14:pctHeight>0</wp14:pctHeight>
            </wp14:sizeRelV>
          </wp:anchor>
        </w:drawing>
      </w:r>
      <w:hyperlink r:id="rId26" w:history="1">
        <w:r w:rsidR="00453154" w:rsidRPr="00683C09">
          <w:rPr>
            <w:rStyle w:val="Hyperlink"/>
            <w:rFonts w:ascii="Arial" w:hAnsi="Arial" w:cs="Arial"/>
            <w:b/>
            <w:bCs/>
          </w:rPr>
          <w:t>FISH-IF Quantification</w:t>
        </w:r>
      </w:hyperlink>
      <w:r w:rsidR="00453154">
        <w:rPr>
          <w:rFonts w:ascii="Arial" w:hAnsi="Arial" w:cs="Arial"/>
        </w:rPr>
        <w:t>: The</w:t>
      </w:r>
      <w:r w:rsidR="00453154" w:rsidRPr="00453154">
        <w:rPr>
          <w:rFonts w:ascii="Arial" w:hAnsi="Arial" w:cs="Arial"/>
        </w:rPr>
        <w:t xml:space="preserve"> FISH-IF quantification module measures any number of fluorescently-labeled DNA/RNA ISH probes and immunofluorescent (IF) protein biomarkers on a cell-by-cell basis. This allows the </w:t>
      </w:r>
      <w:r w:rsidR="00453154">
        <w:rPr>
          <w:rFonts w:ascii="Arial" w:hAnsi="Arial" w:cs="Arial"/>
        </w:rPr>
        <w:t xml:space="preserve">user </w:t>
      </w:r>
      <w:r w:rsidR="00453154" w:rsidRPr="00453154">
        <w:rPr>
          <w:rFonts w:ascii="Arial" w:hAnsi="Arial" w:cs="Arial"/>
        </w:rPr>
        <w:t>to rapidly contextualize the corresponding protein and gene expression profile of every cell across the tissue. HALO FISH-IF analysis is designed to work with single or dual IHC-ISH assays including RNAscope</w:t>
      </w:r>
      <w:r w:rsidR="00453154">
        <w:rPr>
          <w:rFonts w:ascii="Arial" w:hAnsi="Arial" w:cs="Arial"/>
        </w:rPr>
        <w:t>.</w:t>
      </w:r>
      <w:r>
        <w:rPr>
          <w:rFonts w:ascii="Arial" w:hAnsi="Arial" w:cs="Arial"/>
        </w:rPr>
        <w:t xml:space="preserve"> In addition, the m</w:t>
      </w:r>
      <w:r w:rsidRPr="00683C09">
        <w:rPr>
          <w:rFonts w:ascii="Arial" w:hAnsi="Arial" w:cs="Arial"/>
        </w:rPr>
        <w:t xml:space="preserve">ultiplex FISH module </w:t>
      </w:r>
      <w:r>
        <w:rPr>
          <w:rFonts w:ascii="Arial" w:hAnsi="Arial" w:cs="Arial"/>
        </w:rPr>
        <w:t xml:space="preserve">is also available to </w:t>
      </w:r>
      <w:r w:rsidRPr="00683C09">
        <w:rPr>
          <w:rFonts w:ascii="Arial" w:hAnsi="Arial" w:cs="Arial"/>
        </w:rPr>
        <w:t>quantif</w:t>
      </w:r>
      <w:r>
        <w:rPr>
          <w:rFonts w:ascii="Arial" w:hAnsi="Arial" w:cs="Arial"/>
        </w:rPr>
        <w:t>y</w:t>
      </w:r>
      <w:r w:rsidRPr="00683C09">
        <w:rPr>
          <w:rFonts w:ascii="Arial" w:hAnsi="Arial" w:cs="Arial"/>
        </w:rPr>
        <w:t xml:space="preserve"> an unlimited number of DNA or RNA FISH probes on a cell-by-cell basis</w:t>
      </w:r>
      <w:r>
        <w:rPr>
          <w:rFonts w:ascii="Arial" w:hAnsi="Arial" w:cs="Arial"/>
        </w:rPr>
        <w:t>.</w:t>
      </w:r>
    </w:p>
    <w:p w14:paraId="2DA36A23" w14:textId="43ED7E58" w:rsidR="00683C09" w:rsidRDefault="00683C09" w:rsidP="00683C09">
      <w:pPr>
        <w:rPr>
          <w:rFonts w:ascii="Arial" w:hAnsi="Arial" w:cs="Arial"/>
        </w:rPr>
      </w:pPr>
    </w:p>
    <w:p w14:paraId="5C6D88BC" w14:textId="77777777" w:rsidR="00683C09" w:rsidRDefault="00683C09" w:rsidP="00683C09">
      <w:pPr>
        <w:rPr>
          <w:rFonts w:ascii="Arial" w:hAnsi="Arial" w:cs="Arial"/>
        </w:rPr>
      </w:pPr>
    </w:p>
    <w:p w14:paraId="2565CE3B" w14:textId="0799A728" w:rsidR="00327300" w:rsidRDefault="00683C09" w:rsidP="00683C09">
      <w:pPr>
        <w:rPr>
          <w:rFonts w:ascii="Arial" w:hAnsi="Arial" w:cs="Arial"/>
        </w:rPr>
      </w:pPr>
      <w:r w:rsidRPr="00683C09">
        <w:rPr>
          <w:rFonts w:ascii="Arial" w:hAnsi="Arial" w:cs="Arial"/>
          <w:noProof/>
        </w:rPr>
        <w:lastRenderedPageBreak/>
        <w:drawing>
          <wp:anchor distT="0" distB="0" distL="114300" distR="114300" simplePos="0" relativeHeight="251666432" behindDoc="0" locked="0" layoutInCell="1" allowOverlap="1" wp14:anchorId="1C3A1C8D" wp14:editId="429A1B45">
            <wp:simplePos x="0" y="0"/>
            <wp:positionH relativeFrom="margin">
              <wp:posOffset>3866018</wp:posOffset>
            </wp:positionH>
            <wp:positionV relativeFrom="paragraph">
              <wp:posOffset>3810</wp:posOffset>
            </wp:positionV>
            <wp:extent cx="2379980" cy="1534160"/>
            <wp:effectExtent l="0" t="0" r="1270" b="8890"/>
            <wp:wrapSquare wrapText="bothSides"/>
            <wp:docPr id="1928438912" name="Picture 1"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438912" name="Picture 1" descr="A close-up of a microscop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79980" cy="1534160"/>
                    </a:xfrm>
                    <a:prstGeom prst="rect">
                      <a:avLst/>
                    </a:prstGeom>
                  </pic:spPr>
                </pic:pic>
              </a:graphicData>
            </a:graphic>
            <wp14:sizeRelH relativeFrom="margin">
              <wp14:pctWidth>0</wp14:pctWidth>
            </wp14:sizeRelH>
            <wp14:sizeRelV relativeFrom="margin">
              <wp14:pctHeight>0</wp14:pctHeight>
            </wp14:sizeRelV>
          </wp:anchor>
        </w:drawing>
      </w:r>
      <w:hyperlink r:id="rId28" w:history="1">
        <w:r w:rsidRPr="00683C09">
          <w:rPr>
            <w:rStyle w:val="Hyperlink"/>
            <w:rFonts w:ascii="Arial" w:hAnsi="Arial" w:cs="Arial"/>
            <w:b/>
            <w:bCs/>
          </w:rPr>
          <w:t>Multiplex IHC</w:t>
        </w:r>
      </w:hyperlink>
      <w:r>
        <w:rPr>
          <w:rFonts w:ascii="Arial" w:hAnsi="Arial" w:cs="Arial"/>
        </w:rPr>
        <w:t>: The m</w:t>
      </w:r>
      <w:r w:rsidRPr="00683C09">
        <w:rPr>
          <w:rFonts w:ascii="Arial" w:hAnsi="Arial" w:cs="Arial"/>
        </w:rPr>
        <w:t>ultiplex IHC module separates up to five stains simultaneously within any cellular compartment (nucleus, cytoplasm or membrane) and can be used for a variety of IHC applications. This module is ideally suited for applications in immuno-oncology where multiple markers are required to characterize distinct immune and tumor cell populations within the tissue. Each cell is individually measured for cytoplasmic, nuclear, and/or membrane positivity. The software also reports a variety of other statistics relating size and staining intensity metrics.</w:t>
      </w:r>
    </w:p>
    <w:p w14:paraId="158D4667" w14:textId="77777777" w:rsidR="00A90FCA" w:rsidRDefault="00A90FCA" w:rsidP="00A90FCA">
      <w:pPr>
        <w:rPr>
          <w:rFonts w:ascii="Arial" w:hAnsi="Arial" w:cs="Arial"/>
        </w:rPr>
      </w:pPr>
    </w:p>
    <w:p w14:paraId="6B6A6566" w14:textId="056DB79D" w:rsidR="008D5A5E" w:rsidRDefault="00000000" w:rsidP="00A90FCA">
      <w:pPr>
        <w:rPr>
          <w:rFonts w:ascii="Arial" w:hAnsi="Arial" w:cs="Arial"/>
        </w:rPr>
      </w:pPr>
      <w:hyperlink r:id="rId29" w:history="1">
        <w:r w:rsidR="00A90FCA" w:rsidRPr="00A90FCA">
          <w:rPr>
            <w:rStyle w:val="Hyperlink"/>
            <w:rFonts w:ascii="Arial" w:hAnsi="Arial" w:cs="Arial"/>
            <w:b/>
            <w:bCs/>
          </w:rPr>
          <w:t>HALO AI</w:t>
        </w:r>
      </w:hyperlink>
      <w:r w:rsidR="00A90FCA">
        <w:rPr>
          <w:rFonts w:ascii="Arial" w:hAnsi="Arial" w:cs="Arial"/>
        </w:rPr>
        <w:t xml:space="preserve">: </w:t>
      </w:r>
      <w:r w:rsidR="00A90FCA" w:rsidRPr="00A90FCA">
        <w:rPr>
          <w:rFonts w:ascii="Arial" w:hAnsi="Arial" w:cs="Arial"/>
        </w:rPr>
        <w:t>HALO AI is a collection of train-by-example classification and segmentation tools underpinned</w:t>
      </w:r>
      <w:r w:rsidR="00A90FCA">
        <w:rPr>
          <w:rFonts w:ascii="Arial" w:hAnsi="Arial" w:cs="Arial"/>
        </w:rPr>
        <w:t xml:space="preserve"> by </w:t>
      </w:r>
      <w:r w:rsidR="00A90FCA" w:rsidRPr="00A90FCA">
        <w:rPr>
          <w:rFonts w:ascii="Arial" w:hAnsi="Arial" w:cs="Arial"/>
        </w:rPr>
        <w:t>advanced deep learning neural network algorithms. HALO AI classifiers can be trained to quantify tissue classes, to segment tissue classes for analysis with other HALO image analysis modules, to find rare events or cells in tissues, and to categorize cell populations into specific phenotypes.</w:t>
      </w:r>
    </w:p>
    <w:p w14:paraId="43B0D89C" w14:textId="012D529C" w:rsidR="008D5A5E" w:rsidRDefault="008D5A5E" w:rsidP="00A90FCA">
      <w:pPr>
        <w:rPr>
          <w:noProof/>
        </w:rPr>
      </w:pPr>
      <w:r w:rsidRPr="008D5A5E">
        <w:rPr>
          <w:rFonts w:ascii="Arial" w:hAnsi="Arial" w:cs="Arial"/>
          <w:noProof/>
        </w:rPr>
        <w:drawing>
          <wp:inline distT="0" distB="0" distL="0" distR="0" wp14:anchorId="08C8DE9E" wp14:editId="4B5314E3">
            <wp:extent cx="3192449" cy="1531298"/>
            <wp:effectExtent l="0" t="0" r="8255" b="0"/>
            <wp:docPr id="149980637" name="Picture 1" descr="A close up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80637" name="Picture 1" descr="A close up of a cell&#10;&#10;Description automatically generated"/>
                    <pic:cNvPicPr/>
                  </pic:nvPicPr>
                  <pic:blipFill>
                    <a:blip r:embed="rId30"/>
                    <a:stretch>
                      <a:fillRect/>
                    </a:stretch>
                  </pic:blipFill>
                  <pic:spPr>
                    <a:xfrm>
                      <a:off x="0" y="0"/>
                      <a:ext cx="3242788" cy="1555444"/>
                    </a:xfrm>
                    <a:prstGeom prst="rect">
                      <a:avLst/>
                    </a:prstGeom>
                  </pic:spPr>
                </pic:pic>
              </a:graphicData>
            </a:graphic>
          </wp:inline>
        </w:drawing>
      </w:r>
      <w:r w:rsidRPr="008D5A5E">
        <w:rPr>
          <w:noProof/>
        </w:rPr>
        <w:t xml:space="preserve"> </w:t>
      </w:r>
      <w:r w:rsidRPr="008D5A5E">
        <w:rPr>
          <w:rFonts w:ascii="Arial" w:hAnsi="Arial" w:cs="Arial"/>
          <w:noProof/>
        </w:rPr>
        <w:drawing>
          <wp:inline distT="0" distB="0" distL="0" distR="0" wp14:anchorId="6DBBA152" wp14:editId="0A8DCFEF">
            <wp:extent cx="3128521" cy="1529809"/>
            <wp:effectExtent l="0" t="0" r="0" b="0"/>
            <wp:docPr id="934116283" name="Picture 1"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116283" name="Picture 1" descr="A close-up of a microscope&#10;&#10;Description automatically generated"/>
                    <pic:cNvPicPr/>
                  </pic:nvPicPr>
                  <pic:blipFill>
                    <a:blip r:embed="rId31"/>
                    <a:stretch>
                      <a:fillRect/>
                    </a:stretch>
                  </pic:blipFill>
                  <pic:spPr>
                    <a:xfrm>
                      <a:off x="0" y="0"/>
                      <a:ext cx="3219905" cy="1574495"/>
                    </a:xfrm>
                    <a:prstGeom prst="rect">
                      <a:avLst/>
                    </a:prstGeom>
                  </pic:spPr>
                </pic:pic>
              </a:graphicData>
            </a:graphic>
          </wp:inline>
        </w:drawing>
      </w:r>
    </w:p>
    <w:p w14:paraId="1AADF26B" w14:textId="18946DAE" w:rsidR="008D5A5E" w:rsidRDefault="007236A0" w:rsidP="00A90FCA">
      <w:pPr>
        <w:rPr>
          <w:rFonts w:ascii="Arial" w:hAnsi="Arial" w:cs="Arial"/>
        </w:rPr>
      </w:pPr>
      <w:r>
        <w:rPr>
          <w:noProof/>
        </w:rPr>
        <w:t>HALO AI g</w:t>
      </w:r>
      <w:r w:rsidR="008D5A5E">
        <w:rPr>
          <w:noProof/>
        </w:rPr>
        <w:t>lomeruli detection in H&amp;E stained kidney sections</w:t>
      </w:r>
    </w:p>
    <w:p w14:paraId="1EAEEE13" w14:textId="016546DD" w:rsidR="008D5A5E" w:rsidRDefault="008D5A5E" w:rsidP="00A90FCA">
      <w:pPr>
        <w:rPr>
          <w:rFonts w:ascii="Arial" w:hAnsi="Arial" w:cs="Arial"/>
        </w:rPr>
      </w:pPr>
      <w:r w:rsidRPr="008D5A5E">
        <w:rPr>
          <w:rFonts w:ascii="Arial" w:hAnsi="Arial" w:cs="Arial"/>
          <w:noProof/>
        </w:rPr>
        <w:drawing>
          <wp:inline distT="0" distB="0" distL="0" distR="0" wp14:anchorId="674861E7" wp14:editId="609B3104">
            <wp:extent cx="3156668" cy="1753704"/>
            <wp:effectExtent l="0" t="0" r="5715" b="0"/>
            <wp:docPr id="590783715" name="Picture 1" descr="A close-up of a pink and blue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783715" name="Picture 1" descr="A close-up of a pink and blue structure&#10;&#10;Description automatically generated"/>
                    <pic:cNvPicPr/>
                  </pic:nvPicPr>
                  <pic:blipFill>
                    <a:blip r:embed="rId32"/>
                    <a:stretch>
                      <a:fillRect/>
                    </a:stretch>
                  </pic:blipFill>
                  <pic:spPr>
                    <a:xfrm>
                      <a:off x="0" y="0"/>
                      <a:ext cx="3229757" cy="1794309"/>
                    </a:xfrm>
                    <a:prstGeom prst="rect">
                      <a:avLst/>
                    </a:prstGeom>
                  </pic:spPr>
                </pic:pic>
              </a:graphicData>
            </a:graphic>
          </wp:inline>
        </w:drawing>
      </w:r>
      <w:r w:rsidRPr="008D5A5E">
        <w:rPr>
          <w:noProof/>
        </w:rPr>
        <w:t xml:space="preserve"> </w:t>
      </w:r>
      <w:r w:rsidRPr="008D5A5E">
        <w:rPr>
          <w:rFonts w:ascii="Arial" w:hAnsi="Arial" w:cs="Arial"/>
          <w:noProof/>
        </w:rPr>
        <w:drawing>
          <wp:inline distT="0" distB="0" distL="0" distR="0" wp14:anchorId="3E82596D" wp14:editId="32621CA1">
            <wp:extent cx="3139999" cy="1746001"/>
            <wp:effectExtent l="0" t="0" r="3810" b="6985"/>
            <wp:docPr id="1923947627" name="Picture 1" descr="A close-up of a pink and green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947627" name="Picture 1" descr="A close-up of a pink and green background&#10;&#10;Description automatically generated"/>
                    <pic:cNvPicPr/>
                  </pic:nvPicPr>
                  <pic:blipFill>
                    <a:blip r:embed="rId33"/>
                    <a:stretch>
                      <a:fillRect/>
                    </a:stretch>
                  </pic:blipFill>
                  <pic:spPr>
                    <a:xfrm>
                      <a:off x="0" y="0"/>
                      <a:ext cx="3189408" cy="1773475"/>
                    </a:xfrm>
                    <a:prstGeom prst="rect">
                      <a:avLst/>
                    </a:prstGeom>
                  </pic:spPr>
                </pic:pic>
              </a:graphicData>
            </a:graphic>
          </wp:inline>
        </w:drawing>
      </w:r>
    </w:p>
    <w:p w14:paraId="51394E84" w14:textId="1E80780A" w:rsidR="00A90FCA" w:rsidRPr="008D5A5E" w:rsidRDefault="007236A0" w:rsidP="008D5A5E">
      <w:pPr>
        <w:rPr>
          <w:rFonts w:ascii="Arial" w:hAnsi="Arial" w:cs="Arial"/>
        </w:rPr>
      </w:pPr>
      <w:r>
        <w:rPr>
          <w:rFonts w:ascii="Arial" w:hAnsi="Arial" w:cs="Arial"/>
        </w:rPr>
        <w:t>HALO AI c</w:t>
      </w:r>
      <w:r w:rsidR="008D5A5E">
        <w:rPr>
          <w:rFonts w:ascii="Arial" w:hAnsi="Arial" w:cs="Arial"/>
        </w:rPr>
        <w:t>ell segmentation and cell phenotyping by marker expression</w:t>
      </w:r>
    </w:p>
    <w:sectPr w:rsidR="00A90FCA" w:rsidRPr="008D5A5E" w:rsidSect="00DB1E64">
      <w:pgSz w:w="12240" w:h="15840"/>
      <w:pgMar w:top="1440" w:right="1080" w:bottom="1440"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4914358"/>
    <w:multiLevelType w:val="hybridMultilevel"/>
    <w:tmpl w:val="ECD66744"/>
    <w:lvl w:ilvl="0" w:tplc="A086D38A">
      <w:numFmt w:val="bullet"/>
      <w:lvlText w:val=""/>
      <w:lvlJc w:val="left"/>
      <w:pPr>
        <w:ind w:left="1080" w:hanging="360"/>
      </w:pPr>
      <w:rPr>
        <w:rFonts w:ascii="Symbol" w:eastAsiaTheme="minorHAnsi" w:hAnsi="Symbol" w:cs="Aria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num w:numId="1" w16cid:durableId="88625819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7B41"/>
    <w:rsid w:val="000A7A5F"/>
    <w:rsid w:val="001D4972"/>
    <w:rsid w:val="00216E26"/>
    <w:rsid w:val="0027259F"/>
    <w:rsid w:val="00327300"/>
    <w:rsid w:val="003E1CEE"/>
    <w:rsid w:val="00401939"/>
    <w:rsid w:val="00453154"/>
    <w:rsid w:val="00525FD9"/>
    <w:rsid w:val="0055398B"/>
    <w:rsid w:val="00683C09"/>
    <w:rsid w:val="00685AC6"/>
    <w:rsid w:val="006860CF"/>
    <w:rsid w:val="006A026C"/>
    <w:rsid w:val="006E64D1"/>
    <w:rsid w:val="007236A0"/>
    <w:rsid w:val="008A29FC"/>
    <w:rsid w:val="008B6649"/>
    <w:rsid w:val="008D5A5E"/>
    <w:rsid w:val="0090735C"/>
    <w:rsid w:val="00A17B41"/>
    <w:rsid w:val="00A528D5"/>
    <w:rsid w:val="00A85DA5"/>
    <w:rsid w:val="00A90FCA"/>
    <w:rsid w:val="00AA6290"/>
    <w:rsid w:val="00B10B47"/>
    <w:rsid w:val="00BD0B6A"/>
    <w:rsid w:val="00C609A1"/>
    <w:rsid w:val="00DB1E64"/>
    <w:rsid w:val="00DD2FB5"/>
    <w:rsid w:val="00DE0661"/>
    <w:rsid w:val="00DE67F7"/>
    <w:rsid w:val="00E71740"/>
    <w:rsid w:val="00E84B24"/>
    <w:rsid w:val="00F847F4"/>
    <w:rsid w:val="00FF67BD"/>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228D01"/>
  <w15:chartTrackingRefBased/>
  <w15:docId w15:val="{86B1E2DE-3CBA-487B-89CA-4FB8F0D33A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D0B6A"/>
    <w:rPr>
      <w:color w:val="0000FF"/>
      <w:u w:val="single"/>
    </w:rPr>
  </w:style>
  <w:style w:type="character" w:styleId="UnresolvedMention">
    <w:name w:val="Unresolved Mention"/>
    <w:basedOn w:val="DefaultParagraphFont"/>
    <w:uiPriority w:val="99"/>
    <w:semiHidden/>
    <w:unhideWhenUsed/>
    <w:rsid w:val="00BD0B6A"/>
    <w:rPr>
      <w:color w:val="605E5C"/>
      <w:shd w:val="clear" w:color="auto" w:fill="E1DFDD"/>
    </w:rPr>
  </w:style>
  <w:style w:type="character" w:customStyle="1" w:styleId="markgmiw56ri5">
    <w:name w:val="markgmiw56ri5"/>
    <w:basedOn w:val="DefaultParagraphFont"/>
    <w:rsid w:val="00DE67F7"/>
  </w:style>
  <w:style w:type="paragraph" w:styleId="ListParagraph">
    <w:name w:val="List Paragraph"/>
    <w:basedOn w:val="Normal"/>
    <w:uiPriority w:val="34"/>
    <w:qFormat/>
    <w:rsid w:val="00AA629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hyperlink" Target="https://indicalab.com/products/fish-if-quantification/" TargetMode="External"/><Relationship Id="rId3" Type="http://schemas.openxmlformats.org/officeDocument/2006/relationships/settings" Target="settings.xml"/><Relationship Id="rId21" Type="http://schemas.openxmlformats.org/officeDocument/2006/relationships/image" Target="media/image7.png"/><Relationship Id="rId34" Type="http://schemas.openxmlformats.org/officeDocument/2006/relationships/fontTable" Target="fontTable.xml"/><Relationship Id="rId7" Type="http://schemas.openxmlformats.org/officeDocument/2006/relationships/hyperlink" Target="https://calendar.google.com/calendar/u/0?cid=cGgzM20zaG8xbGRqc3RrN2h0MnBpYzh1NTRAZ3JvdXAuY2FsZW5kYXIuZ29vZ2xlLmNvbQ" TargetMode="External"/><Relationship Id="rId12" Type="http://schemas.openxmlformats.org/officeDocument/2006/relationships/hyperlink" Target="mailto:kim.n@queensu.ca" TargetMode="External"/><Relationship Id="rId17" Type="http://schemas.openxmlformats.org/officeDocument/2006/relationships/hyperlink" Target="https://indicalab.com/products/tissue-microarray-tma/" TargetMode="External"/><Relationship Id="rId25" Type="http://schemas.openxmlformats.org/officeDocument/2006/relationships/image" Target="media/image10.png"/><Relationship Id="rId33"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hyperlink" Target="https://indicalab.com/products/area-quantification-brightfield/" TargetMode="External"/><Relationship Id="rId29" Type="http://schemas.openxmlformats.org/officeDocument/2006/relationships/hyperlink" Target="https://indicalab.com/halo-ai/" TargetMode="External"/><Relationship Id="rId1" Type="http://schemas.openxmlformats.org/officeDocument/2006/relationships/numbering" Target="numbering.xml"/><Relationship Id="rId6" Type="http://schemas.openxmlformats.org/officeDocument/2006/relationships/hyperlink" Target="https://images.path.queensu.ca/" TargetMode="External"/><Relationship Id="rId11" Type="http://schemas.openxmlformats.org/officeDocument/2006/relationships/hyperlink" Target="https://learn.indicalab.com/" TargetMode="External"/><Relationship Id="rId24" Type="http://schemas.openxmlformats.org/officeDocument/2006/relationships/image" Target="media/image9.png"/><Relationship Id="rId32" Type="http://schemas.openxmlformats.org/officeDocument/2006/relationships/image" Target="media/image14.png"/><Relationship Id="rId5" Type="http://schemas.openxmlformats.org/officeDocument/2006/relationships/image" Target="media/image1.png"/><Relationship Id="rId15" Type="http://schemas.openxmlformats.org/officeDocument/2006/relationships/image" Target="media/image3.png"/><Relationship Id="rId23" Type="http://schemas.openxmlformats.org/officeDocument/2006/relationships/hyperlink" Target="https://indicalab.com/products/cytonuclear-ihc/" TargetMode="External"/><Relationship Id="rId28" Type="http://schemas.openxmlformats.org/officeDocument/2006/relationships/hyperlink" Target="https://indicalab.com/products/multiplex-ihc/" TargetMode="External"/><Relationship Id="rId10" Type="http://schemas.openxmlformats.org/officeDocument/2006/relationships/hyperlink" Target="https://learn.indicalab.com/tag/halo-user-guides/" TargetMode="External"/><Relationship Id="rId19" Type="http://schemas.openxmlformats.org/officeDocument/2006/relationships/image" Target="media/image6.png"/><Relationship Id="rId31"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hyperlink" Target="mailto:kevin.kell@queensu.ca" TargetMode="External"/><Relationship Id="rId14" Type="http://schemas.openxmlformats.org/officeDocument/2006/relationships/hyperlink" Target="https://indicalab.com/products/tissue-classification/" TargetMode="External"/><Relationship Id="rId22" Type="http://schemas.openxmlformats.org/officeDocument/2006/relationships/image" Target="media/image8.png"/><Relationship Id="rId27" Type="http://schemas.openxmlformats.org/officeDocument/2006/relationships/image" Target="media/image11.png"/><Relationship Id="rId30" Type="http://schemas.openxmlformats.org/officeDocument/2006/relationships/image" Target="media/image12.png"/><Relationship Id="rId35" Type="http://schemas.openxmlformats.org/officeDocument/2006/relationships/theme" Target="theme/theme1.xml"/><Relationship Id="rId8" Type="http://schemas.openxmlformats.org/officeDocument/2006/relationships/hyperlink" Target="mailto:virks@queensu.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Pages>
  <Words>842</Words>
  <Characters>4801</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Nathalia Kim</dc:creator>
  <cp:keywords/>
  <dc:description/>
  <cp:lastModifiedBy>Shakeel Virk</cp:lastModifiedBy>
  <cp:revision>2</cp:revision>
  <dcterms:created xsi:type="dcterms:W3CDTF">2023-07-25T17:57:00Z</dcterms:created>
  <dcterms:modified xsi:type="dcterms:W3CDTF">2023-07-25T17:57:00Z</dcterms:modified>
</cp:coreProperties>
</file>