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C7" w:rsidRPr="00206177" w:rsidRDefault="008A43C7" w:rsidP="008A43C7">
      <w:pPr>
        <w:pStyle w:val="Heading1"/>
      </w:pPr>
      <w:bookmarkStart w:id="0" w:name="_Toc46839104"/>
      <w:r w:rsidRPr="00206177">
        <w:t>Teaching During COVID-19</w:t>
      </w:r>
      <w:bookmarkEnd w:id="0"/>
    </w:p>
    <w:p w:rsidR="008A43C7" w:rsidRPr="00206177" w:rsidRDefault="008A43C7" w:rsidP="008A43C7">
      <w:pPr>
        <w:pStyle w:val="Heading2"/>
        <w:rPr>
          <w:color w:val="767171" w:themeColor="background2" w:themeShade="80"/>
        </w:rPr>
      </w:pPr>
      <w:bookmarkStart w:id="1" w:name="_Toc46839105"/>
      <w:r w:rsidRPr="00206177">
        <w:rPr>
          <w:color w:val="767171" w:themeColor="background2" w:themeShade="80"/>
        </w:rPr>
        <w:t>Guiding Principles for Transition to Remote Teaching and Learning</w:t>
      </w:r>
      <w:bookmarkEnd w:id="1"/>
    </w:p>
    <w:p w:rsidR="008A43C7" w:rsidRPr="009F2936" w:rsidRDefault="008A43C7" w:rsidP="008A43C7">
      <w:r w:rsidRPr="009F2936">
        <w:t>A course that is adapted for remote teaching and learning is not equivalent to a fully-online course. Design and execution of a fully-online course can take up to 18 months with a team of technical support persons. Given the timeframe for delivery of Fall Term 2020 instruction, remote teaching and learning will involve rethinking the components and structure of your course to:</w:t>
      </w:r>
    </w:p>
    <w:p w:rsidR="008A43C7" w:rsidRDefault="008A43C7" w:rsidP="008A43C7">
      <w:pPr>
        <w:pStyle w:val="ListParagraph"/>
        <w:numPr>
          <w:ilvl w:val="0"/>
          <w:numId w:val="1"/>
        </w:numPr>
      </w:pPr>
      <w:r>
        <w:t>provide content remotely;</w:t>
      </w:r>
    </w:p>
    <w:p w:rsidR="008A43C7" w:rsidRDefault="008A43C7" w:rsidP="008A43C7">
      <w:pPr>
        <w:pStyle w:val="ListParagraph"/>
        <w:numPr>
          <w:ilvl w:val="0"/>
          <w:numId w:val="1"/>
        </w:numPr>
      </w:pPr>
      <w:r>
        <w:t>assess learning remotely; and</w:t>
      </w:r>
    </w:p>
    <w:p w:rsidR="008A43C7" w:rsidRDefault="008A43C7" w:rsidP="008A43C7">
      <w:pPr>
        <w:pStyle w:val="ListParagraph"/>
        <w:numPr>
          <w:ilvl w:val="0"/>
          <w:numId w:val="1"/>
        </w:numPr>
      </w:pPr>
      <w:proofErr w:type="gramStart"/>
      <w:r>
        <w:t>engage</w:t>
      </w:r>
      <w:proofErr w:type="gramEnd"/>
      <w:r>
        <w:t xml:space="preserve"> your students remotely, in the most straightforward and easily achievable manner.</w:t>
      </w:r>
    </w:p>
    <w:p w:rsidR="008A43C7" w:rsidRPr="009F2936" w:rsidRDefault="008A43C7" w:rsidP="008A43C7">
      <w:r w:rsidRPr="009F2936">
        <w:t>Here are some principles to guide you in modifying/adapting your course for successful and engaging delivery to students who are studying remotely.</w:t>
      </w:r>
    </w:p>
    <w:p w:rsidR="008A43C7" w:rsidRPr="00543C50" w:rsidRDefault="008A43C7" w:rsidP="008A43C7">
      <w:pPr>
        <w:pStyle w:val="Heading3"/>
      </w:pPr>
      <w:r w:rsidRPr="00543C50">
        <w:rPr>
          <w:rStyle w:val="Strong"/>
          <w:b/>
          <w:bCs/>
        </w:rPr>
        <w:t>Flexibility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Take a pragmatic approach. Keep your approach simple to allow flexibility for both you and your students.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Use a variety of approaches to provide your course content. Simply providing all voice over PPTs, videoed lectures or synchronous live lectures to replace your normal lectures is not a best practice adaptation.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You are encouraged to deliver your course in an asynchronous manner such that technology and time-zone concerns are minimized.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Courses that require a synchronous component should be done with multiple sessions involving small groups of students to ensure engagement, flexibility in timing, and effectiveness.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Consider multiple forms of assessments interspersed within the course rather than a smaller number of significant assessments. Provide flexible due dates where possible.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To the degree possible, avoid significant formal final assessments that require proctoring and specific scheduling.</w:t>
      </w:r>
    </w:p>
    <w:p w:rsidR="008A43C7" w:rsidRPr="00543C50" w:rsidRDefault="008A43C7" w:rsidP="008A43C7">
      <w:pPr>
        <w:pStyle w:val="Heading3"/>
      </w:pPr>
      <w:r w:rsidRPr="00543C50">
        <w:rPr>
          <w:rStyle w:val="Strong"/>
          <w:b/>
          <w:bCs/>
        </w:rPr>
        <w:t>Communication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lastRenderedPageBreak/>
        <w:t>Consider the student experience of taking several courses by remote instruction for the first time. Take time at the start of your course to explain and on-board your students to your approach to the course and how it will run. Remember that normally on-line learning is self-selected and students are prepared for it, whereas in this case they have no option.</w:t>
      </w:r>
    </w:p>
    <w:p w:rsidR="008A43C7" w:rsidRPr="00543C50" w:rsidRDefault="008A43C7" w:rsidP="008A43C7">
      <w:pPr>
        <w:pStyle w:val="Heading3"/>
      </w:pPr>
      <w:r w:rsidRPr="00206177">
        <w:t>Technology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For continuity of the student experience across several courses and to ensure maximum level of instructor support, use the existing LMS (</w:t>
      </w:r>
      <w:proofErr w:type="spellStart"/>
      <w:r>
        <w:t>onQ</w:t>
      </w:r>
      <w:proofErr w:type="spellEnd"/>
      <w:r>
        <w:t xml:space="preserve">, </w:t>
      </w:r>
      <w:proofErr w:type="spellStart"/>
      <w:r>
        <w:t>Elentra</w:t>
      </w:r>
      <w:proofErr w:type="spellEnd"/>
      <w:r>
        <w:t>) and the tools and technologies supported by the CTL and ITS.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If a new technology is required for your course, consider the following:</w:t>
      </w:r>
    </w:p>
    <w:p w:rsidR="008A43C7" w:rsidRDefault="008A43C7" w:rsidP="008A43C7">
      <w:pPr>
        <w:pStyle w:val="ListParagraph"/>
        <w:numPr>
          <w:ilvl w:val="1"/>
          <w:numId w:val="2"/>
        </w:numPr>
      </w:pPr>
      <w:r>
        <w:t>Determine the pedagogical rationale for adopting a particular technology and its purpose in supporting learning in your course.</w:t>
      </w:r>
    </w:p>
    <w:p w:rsidR="008A43C7" w:rsidRDefault="008A43C7" w:rsidP="008A43C7">
      <w:pPr>
        <w:pStyle w:val="ListParagraph"/>
        <w:numPr>
          <w:ilvl w:val="1"/>
          <w:numId w:val="2"/>
        </w:numPr>
      </w:pPr>
      <w:r>
        <w:t>Ensure that the technology meets the privacy and security standards of the University.</w:t>
      </w:r>
    </w:p>
    <w:p w:rsidR="008A43C7" w:rsidRDefault="008A43C7" w:rsidP="008A43C7">
      <w:pPr>
        <w:pStyle w:val="ListParagraph"/>
        <w:numPr>
          <w:ilvl w:val="1"/>
          <w:numId w:val="2"/>
        </w:numPr>
      </w:pPr>
      <w:r>
        <w:t>Abide by provincial guidelines on ancillary costs to avoid passing costs directly to your students.</w:t>
      </w:r>
    </w:p>
    <w:p w:rsidR="008A43C7" w:rsidRDefault="008A43C7" w:rsidP="008A43C7">
      <w:pPr>
        <w:pStyle w:val="ListParagraph"/>
        <w:numPr>
          <w:ilvl w:val="1"/>
          <w:numId w:val="2"/>
        </w:numPr>
      </w:pPr>
      <w:r>
        <w:t>Be aware of the student experience to ensure that students do not have to move across multiple technological platforms and tools.</w:t>
      </w:r>
    </w:p>
    <w:p w:rsidR="008A43C7" w:rsidRDefault="008A43C7" w:rsidP="008A43C7">
      <w:pPr>
        <w:pStyle w:val="ListParagraph"/>
        <w:numPr>
          <w:ilvl w:val="1"/>
          <w:numId w:val="2"/>
        </w:numPr>
      </w:pPr>
      <w:r>
        <w:t>Consider the ease of use of the technology for students and how the technology will facilitate the requirements of students with documented accommodation needs.</w:t>
      </w:r>
    </w:p>
    <w:p w:rsidR="008A43C7" w:rsidRDefault="008A43C7" w:rsidP="008A43C7">
      <w:pPr>
        <w:pStyle w:val="ListParagraph"/>
        <w:numPr>
          <w:ilvl w:val="1"/>
          <w:numId w:val="2"/>
        </w:numPr>
      </w:pPr>
      <w:r>
        <w:t>Be prepared to have a plan to answer questions from students about the technology and to support the use of this technology.</w:t>
      </w:r>
    </w:p>
    <w:p w:rsidR="008A43C7" w:rsidRDefault="008A43C7" w:rsidP="008A43C7">
      <w:pPr>
        <w:pStyle w:val="ListParagraph"/>
        <w:numPr>
          <w:ilvl w:val="1"/>
          <w:numId w:val="2"/>
        </w:numPr>
      </w:pPr>
      <w:r>
        <w:t>Consider the accommodation needs that may arise from the implementation of this educational technology.</w:t>
      </w:r>
    </w:p>
    <w:p w:rsidR="008A43C7" w:rsidRPr="009F2936" w:rsidRDefault="008A43C7" w:rsidP="008A43C7">
      <w:pPr>
        <w:pStyle w:val="ListParagraph"/>
        <w:numPr>
          <w:ilvl w:val="1"/>
          <w:numId w:val="2"/>
        </w:numPr>
        <w:rPr>
          <w:rStyle w:val="Strong"/>
          <w:b w:val="0"/>
          <w:bCs w:val="0"/>
        </w:rPr>
      </w:pPr>
      <w:r>
        <w:t>Carefully plan ahead to seamlessly integrate the technology into your course.</w:t>
      </w:r>
    </w:p>
    <w:p w:rsidR="008A43C7" w:rsidRPr="00206177" w:rsidRDefault="008A43C7" w:rsidP="008A43C7">
      <w:pPr>
        <w:pStyle w:val="Heading3"/>
      </w:pPr>
      <w:r w:rsidRPr="00206177">
        <w:rPr>
          <w:rStyle w:val="Strong"/>
          <w:b/>
          <w:bCs/>
        </w:rPr>
        <w:t>Support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You are encouraged to participate in the professional development opportunities provided by the CTL, ITS and your Faculty-specific units as you prepare for this transition.</w:t>
      </w:r>
    </w:p>
    <w:p w:rsidR="008A43C7" w:rsidRDefault="008A43C7" w:rsidP="008A43C7">
      <w:pPr>
        <w:pStyle w:val="ListParagraph"/>
        <w:numPr>
          <w:ilvl w:val="0"/>
          <w:numId w:val="2"/>
        </w:numPr>
      </w:pPr>
      <w:r>
        <w:t>Use online resources, guides and ask for consultations with the CTL while you are adapting your course.</w:t>
      </w:r>
    </w:p>
    <w:p w:rsidR="00F73531" w:rsidRDefault="008A43C7">
      <w:bookmarkStart w:id="2" w:name="_GoBack"/>
      <w:bookmarkEnd w:id="2"/>
    </w:p>
    <w:sectPr w:rsidR="00F7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2A1"/>
    <w:multiLevelType w:val="hybridMultilevel"/>
    <w:tmpl w:val="1E38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0491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FBE"/>
    <w:multiLevelType w:val="hybridMultilevel"/>
    <w:tmpl w:val="4E92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C7"/>
    <w:rsid w:val="00043754"/>
    <w:rsid w:val="008A43C7"/>
    <w:rsid w:val="009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C567"/>
  <w15:chartTrackingRefBased/>
  <w15:docId w15:val="{E8508BA6-7736-4948-82C6-B34F24F9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C7"/>
    <w:pPr>
      <w:spacing w:after="255" w:line="240" w:lineRule="auto"/>
      <w:textAlignment w:val="baseline"/>
    </w:pPr>
    <w:rPr>
      <w:rFonts w:ascii="Palatino Linotype" w:eastAsia="Times New Roman" w:hAnsi="Palatino Linotype" w:cs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3C7"/>
    <w:pPr>
      <w:spacing w:after="240"/>
      <w:jc w:val="center"/>
      <w:outlineLvl w:val="0"/>
    </w:pPr>
    <w:rPr>
      <w:b/>
      <w:bCs/>
      <w:color w:val="11335D"/>
      <w:spacing w:val="-12"/>
      <w:sz w:val="36"/>
      <w:szCs w:val="38"/>
      <w:bdr w:val="none" w:sz="0" w:space="0" w:color="auto" w:frame="1"/>
    </w:rPr>
  </w:style>
  <w:style w:type="paragraph" w:styleId="Heading2">
    <w:name w:val="heading 2"/>
    <w:basedOn w:val="Heading1"/>
    <w:link w:val="Heading2Char"/>
    <w:uiPriority w:val="9"/>
    <w:qFormat/>
    <w:rsid w:val="008A43C7"/>
    <w:pPr>
      <w:outlineLvl w:val="1"/>
    </w:pPr>
    <w:rPr>
      <w:color w:val="767171" w:themeColor="background2" w:themeShade="80"/>
      <w:szCs w:val="32"/>
    </w:rPr>
  </w:style>
  <w:style w:type="paragraph" w:styleId="Heading3">
    <w:name w:val="heading 3"/>
    <w:basedOn w:val="Heading2"/>
    <w:link w:val="Heading3Char"/>
    <w:uiPriority w:val="9"/>
    <w:qFormat/>
    <w:rsid w:val="008A43C7"/>
    <w:pPr>
      <w:jc w:val="left"/>
      <w:outlineLvl w:val="2"/>
    </w:pPr>
    <w:rPr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3C7"/>
    <w:rPr>
      <w:rFonts w:ascii="Palatino Linotype" w:eastAsia="Times New Roman" w:hAnsi="Palatino Linotype" w:cs="Lucida Sans Unicode"/>
      <w:b/>
      <w:bCs/>
      <w:color w:val="11335D"/>
      <w:spacing w:val="-12"/>
      <w:sz w:val="36"/>
      <w:szCs w:val="38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8A43C7"/>
    <w:rPr>
      <w:rFonts w:ascii="Palatino Linotype" w:eastAsia="Times New Roman" w:hAnsi="Palatino Linotype" w:cs="Lucida Sans Unicode"/>
      <w:b/>
      <w:bCs/>
      <w:color w:val="767171" w:themeColor="background2" w:themeShade="80"/>
      <w:spacing w:val="-12"/>
      <w:sz w:val="36"/>
      <w:szCs w:val="32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8A43C7"/>
    <w:rPr>
      <w:rFonts w:ascii="Palatino Linotype" w:eastAsia="Times New Roman" w:hAnsi="Palatino Linotype" w:cs="Lucida Sans Unicode"/>
      <w:b/>
      <w:bCs/>
      <w:spacing w:val="-12"/>
      <w:sz w:val="32"/>
      <w:szCs w:val="32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8A43C7"/>
    <w:rPr>
      <w:b/>
      <w:bCs/>
    </w:rPr>
  </w:style>
  <w:style w:type="paragraph" w:styleId="ListParagraph">
    <w:name w:val="List Paragraph"/>
    <w:basedOn w:val="Normal"/>
    <w:uiPriority w:val="34"/>
    <w:qFormat/>
    <w:rsid w:val="008A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2768</Characters>
  <Application>Microsoft Office Word</Application>
  <DocSecurity>0</DocSecurity>
  <Lines>395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Kairee Kirkwood</dc:creator>
  <cp:keywords/>
  <dc:description/>
  <cp:lastModifiedBy>Kairee Kirkwood</cp:lastModifiedBy>
  <cp:revision>1</cp:revision>
  <dcterms:created xsi:type="dcterms:W3CDTF">2020-07-28T18:43:00Z</dcterms:created>
  <dcterms:modified xsi:type="dcterms:W3CDTF">2020-07-28T18:44:00Z</dcterms:modified>
</cp:coreProperties>
</file>