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3554A" w14:textId="77777777" w:rsidR="00555E72" w:rsidRPr="00555E72" w:rsidRDefault="00555E72" w:rsidP="00555E72">
      <w:pPr>
        <w:rPr>
          <w:lang w:val="en-CA"/>
        </w:rPr>
      </w:pPr>
      <w:r w:rsidRPr="00555E72">
        <w:rPr>
          <w:b/>
          <w:bCs/>
          <w:lang w:val="en-CA"/>
        </w:rPr>
        <w:t>1. Introduction</w:t>
      </w:r>
    </w:p>
    <w:p w14:paraId="490BBE3E" w14:textId="77777777" w:rsidR="00555E72" w:rsidRPr="00555E72" w:rsidRDefault="00555E72" w:rsidP="00555E72">
      <w:pPr>
        <w:rPr>
          <w:lang w:val="en-CA"/>
        </w:rPr>
      </w:pPr>
      <w:r w:rsidRPr="00555E72">
        <w:rPr>
          <w:lang w:val="en-CA"/>
        </w:rPr>
        <w:t>This procedure outlines the proper methods for the movement and transportation of radioactive materials and substances at Queen’s University.</w:t>
      </w:r>
    </w:p>
    <w:p w14:paraId="41A1C15D" w14:textId="77777777" w:rsidR="00555E72" w:rsidRDefault="00555E72" w:rsidP="00555E72">
      <w:pPr>
        <w:rPr>
          <w:b/>
          <w:bCs/>
          <w:lang w:val="en-CA"/>
        </w:rPr>
      </w:pPr>
    </w:p>
    <w:p w14:paraId="628E1980" w14:textId="4F1A5E55" w:rsidR="00555E72" w:rsidRPr="00555E72" w:rsidRDefault="00555E72" w:rsidP="00555E72">
      <w:pPr>
        <w:rPr>
          <w:lang w:val="en-CA"/>
        </w:rPr>
      </w:pPr>
      <w:r w:rsidRPr="00555E72">
        <w:rPr>
          <w:b/>
          <w:bCs/>
          <w:lang w:val="en-CA"/>
        </w:rPr>
        <w:t>Purpose:</w:t>
      </w:r>
      <w:r w:rsidRPr="00555E72">
        <w:rPr>
          <w:lang w:val="en-CA"/>
        </w:rPr>
        <w:t xml:space="preserve"> To ensure all radioactive material movements are conducted safely, securely, and in compliance with regulatory requirements.</w:t>
      </w:r>
    </w:p>
    <w:p w14:paraId="607B3690" w14:textId="77777777" w:rsidR="00555E72" w:rsidRDefault="00555E72" w:rsidP="00555E72">
      <w:pPr>
        <w:rPr>
          <w:b/>
          <w:bCs/>
          <w:lang w:val="en-CA"/>
        </w:rPr>
      </w:pPr>
    </w:p>
    <w:p w14:paraId="0075408F" w14:textId="7583E87F" w:rsidR="00555E72" w:rsidRPr="00555E72" w:rsidRDefault="00555E72" w:rsidP="00555E72">
      <w:pPr>
        <w:rPr>
          <w:lang w:val="en-CA"/>
        </w:rPr>
      </w:pPr>
      <w:r w:rsidRPr="00555E72">
        <w:rPr>
          <w:b/>
          <w:bCs/>
          <w:lang w:val="en-CA"/>
        </w:rPr>
        <w:t>Objectives:</w:t>
      </w:r>
    </w:p>
    <w:p w14:paraId="2D3A677F" w14:textId="77777777" w:rsidR="00555E72" w:rsidRPr="00555E72" w:rsidRDefault="00555E72" w:rsidP="00555E72">
      <w:pPr>
        <w:numPr>
          <w:ilvl w:val="0"/>
          <w:numId w:val="8"/>
        </w:numPr>
        <w:rPr>
          <w:lang w:val="en-CA"/>
        </w:rPr>
      </w:pPr>
      <w:r w:rsidRPr="00555E72">
        <w:rPr>
          <w:lang w:val="en-CA"/>
        </w:rPr>
        <w:t>Promote safe handling and transportation of radioactive materials</w:t>
      </w:r>
    </w:p>
    <w:p w14:paraId="34A139CC" w14:textId="77777777" w:rsidR="00555E72" w:rsidRPr="00555E72" w:rsidRDefault="00555E72" w:rsidP="00555E72">
      <w:pPr>
        <w:numPr>
          <w:ilvl w:val="0"/>
          <w:numId w:val="8"/>
        </w:numPr>
        <w:rPr>
          <w:lang w:val="en-CA"/>
        </w:rPr>
      </w:pPr>
      <w:r w:rsidRPr="00555E72">
        <w:rPr>
          <w:lang w:val="en-CA"/>
        </w:rPr>
        <w:t>Minimize the risk of radiation exposure and environmental contamination</w:t>
      </w:r>
    </w:p>
    <w:p w14:paraId="2833111A" w14:textId="77777777" w:rsidR="00555E72" w:rsidRPr="00555E72" w:rsidRDefault="00555E72" w:rsidP="00555E72">
      <w:pPr>
        <w:numPr>
          <w:ilvl w:val="0"/>
          <w:numId w:val="8"/>
        </w:numPr>
        <w:rPr>
          <w:lang w:val="en-CA"/>
        </w:rPr>
      </w:pPr>
      <w:r w:rsidRPr="00555E72">
        <w:rPr>
          <w:lang w:val="en-CA"/>
        </w:rPr>
        <w:t>Ensure compliance with CNSC, TDG Class 7, and IAEA SSG-87 standards</w:t>
      </w:r>
    </w:p>
    <w:p w14:paraId="4A23E74D" w14:textId="77777777" w:rsidR="00555E72" w:rsidRPr="00555E72" w:rsidRDefault="00555E72" w:rsidP="00555E72">
      <w:pPr>
        <w:numPr>
          <w:ilvl w:val="0"/>
          <w:numId w:val="8"/>
        </w:numPr>
        <w:rPr>
          <w:lang w:val="en-CA"/>
        </w:rPr>
      </w:pPr>
      <w:r w:rsidRPr="00555E72">
        <w:rPr>
          <w:lang w:val="en-CA"/>
        </w:rPr>
        <w:t>Provide consistent, clear instructions for authorized personnel</w:t>
      </w:r>
    </w:p>
    <w:p w14:paraId="164471AB" w14:textId="77777777" w:rsidR="00555E72" w:rsidRDefault="00555E72" w:rsidP="00555E72">
      <w:pPr>
        <w:rPr>
          <w:b/>
          <w:bCs/>
          <w:lang w:val="en-CA"/>
        </w:rPr>
      </w:pPr>
    </w:p>
    <w:p w14:paraId="5E6D56CA" w14:textId="71E917D6" w:rsidR="00555E72" w:rsidRPr="00555E72" w:rsidRDefault="00555E72" w:rsidP="00555E72">
      <w:pPr>
        <w:rPr>
          <w:lang w:val="en-CA"/>
        </w:rPr>
      </w:pPr>
      <w:r w:rsidRPr="00555E72">
        <w:rPr>
          <w:b/>
          <w:bCs/>
          <w:lang w:val="en-CA"/>
        </w:rPr>
        <w:t>Application:</w:t>
      </w:r>
      <w:r w:rsidRPr="00555E72">
        <w:rPr>
          <w:lang w:val="en-CA"/>
        </w:rPr>
        <w:t xml:space="preserve"> This SOP applies to all personnel engaged in the movement or transport of radioactive substances within or outside Queen’s University premises.</w:t>
      </w:r>
    </w:p>
    <w:p w14:paraId="45743EFF" w14:textId="77777777" w:rsidR="00555E72" w:rsidRDefault="00555E72" w:rsidP="00555E72">
      <w:pPr>
        <w:rPr>
          <w:lang w:val="en-CA"/>
        </w:rPr>
      </w:pPr>
    </w:p>
    <w:p w14:paraId="6A509B9B" w14:textId="0A6AFCE3" w:rsidR="00555E72" w:rsidRPr="00555E72" w:rsidRDefault="00555E72" w:rsidP="00555E72">
      <w:pPr>
        <w:rPr>
          <w:lang w:val="en-CA"/>
        </w:rPr>
      </w:pPr>
      <w:r w:rsidRPr="00555E72">
        <w:rPr>
          <w:b/>
          <w:bCs/>
          <w:lang w:val="en-CA"/>
        </w:rPr>
        <w:t>2. Scope</w:t>
      </w:r>
    </w:p>
    <w:p w14:paraId="316E6E50" w14:textId="77777777" w:rsidR="00555E72" w:rsidRPr="00555E72" w:rsidRDefault="00555E72" w:rsidP="00555E72">
      <w:pPr>
        <w:rPr>
          <w:lang w:val="en-CA"/>
        </w:rPr>
      </w:pPr>
      <w:r w:rsidRPr="00555E72">
        <w:rPr>
          <w:lang w:val="en-CA"/>
        </w:rPr>
        <w:t>This procedure applies to:</w:t>
      </w:r>
    </w:p>
    <w:p w14:paraId="748AC734" w14:textId="77777777" w:rsidR="00555E72" w:rsidRPr="00555E72" w:rsidRDefault="00555E72" w:rsidP="00555E72">
      <w:pPr>
        <w:numPr>
          <w:ilvl w:val="0"/>
          <w:numId w:val="9"/>
        </w:numPr>
        <w:rPr>
          <w:lang w:val="en-CA"/>
        </w:rPr>
      </w:pPr>
      <w:r w:rsidRPr="00555E72">
        <w:rPr>
          <w:lang w:val="en-CA"/>
        </w:rPr>
        <w:t>Internal movement of radioactive materials between laboratories on campus</w:t>
      </w:r>
    </w:p>
    <w:p w14:paraId="0B09156C" w14:textId="77777777" w:rsidR="00555E72" w:rsidRPr="00555E72" w:rsidRDefault="00555E72" w:rsidP="00555E72">
      <w:pPr>
        <w:numPr>
          <w:ilvl w:val="0"/>
          <w:numId w:val="9"/>
        </w:numPr>
        <w:rPr>
          <w:lang w:val="en-CA"/>
        </w:rPr>
      </w:pPr>
      <w:r w:rsidRPr="00555E72">
        <w:rPr>
          <w:lang w:val="en-CA"/>
        </w:rPr>
        <w:t>Off-campus transportation to other licensed institutions or disposal facilities</w:t>
      </w:r>
    </w:p>
    <w:p w14:paraId="768789B4" w14:textId="77777777" w:rsidR="00555E72" w:rsidRPr="00555E72" w:rsidRDefault="00555E72" w:rsidP="00555E72">
      <w:pPr>
        <w:numPr>
          <w:ilvl w:val="0"/>
          <w:numId w:val="9"/>
        </w:numPr>
        <w:rPr>
          <w:lang w:val="en-CA"/>
        </w:rPr>
      </w:pPr>
      <w:r w:rsidRPr="00555E72">
        <w:rPr>
          <w:lang w:val="en-CA"/>
        </w:rPr>
        <w:t>All research and teaching activities involving radioactive substances</w:t>
      </w:r>
    </w:p>
    <w:p w14:paraId="74BE3718" w14:textId="77777777" w:rsidR="00555E72" w:rsidRDefault="00555E72" w:rsidP="00555E72">
      <w:pPr>
        <w:rPr>
          <w:lang w:val="en-CA"/>
        </w:rPr>
      </w:pPr>
    </w:p>
    <w:p w14:paraId="3B436C2D" w14:textId="787D29EC" w:rsidR="00555E72" w:rsidRPr="00555E72" w:rsidRDefault="00555E72" w:rsidP="00555E72">
      <w:pPr>
        <w:rPr>
          <w:lang w:val="en-CA"/>
        </w:rPr>
      </w:pPr>
      <w:r w:rsidRPr="00555E72">
        <w:rPr>
          <w:b/>
          <w:bCs/>
          <w:lang w:val="en-CA"/>
        </w:rPr>
        <w:t>3. Applicable Legislation, Standards, Guidelines</w:t>
      </w:r>
    </w:p>
    <w:p w14:paraId="2499CE1F" w14:textId="77777777" w:rsidR="00555E72" w:rsidRPr="00555E72" w:rsidRDefault="00555E72" w:rsidP="00555E72">
      <w:pPr>
        <w:numPr>
          <w:ilvl w:val="0"/>
          <w:numId w:val="10"/>
        </w:numPr>
        <w:rPr>
          <w:lang w:val="en-CA"/>
        </w:rPr>
      </w:pPr>
      <w:r w:rsidRPr="00555E72">
        <w:rPr>
          <w:lang w:val="en-CA"/>
        </w:rPr>
        <w:t>Transportation of Dangerous Goods Regulations (TDGR), Class 7 (Radioactive Materials)</w:t>
      </w:r>
    </w:p>
    <w:p w14:paraId="3B853196" w14:textId="77777777" w:rsidR="00555E72" w:rsidRPr="00555E72" w:rsidRDefault="00555E72" w:rsidP="00555E72">
      <w:pPr>
        <w:numPr>
          <w:ilvl w:val="0"/>
          <w:numId w:val="10"/>
        </w:numPr>
        <w:rPr>
          <w:lang w:val="en-CA"/>
        </w:rPr>
      </w:pPr>
      <w:r w:rsidRPr="00555E72">
        <w:rPr>
          <w:lang w:val="en-CA"/>
        </w:rPr>
        <w:t>CNSC Packaging and Transport of Nuclear Substances Regulations, 2015</w:t>
      </w:r>
    </w:p>
    <w:p w14:paraId="7FCC156A" w14:textId="77777777" w:rsidR="00555E72" w:rsidRPr="00555E72" w:rsidRDefault="00555E72" w:rsidP="00555E72">
      <w:pPr>
        <w:numPr>
          <w:ilvl w:val="0"/>
          <w:numId w:val="10"/>
        </w:numPr>
        <w:rPr>
          <w:lang w:val="en-CA"/>
        </w:rPr>
      </w:pPr>
      <w:r w:rsidRPr="00555E72">
        <w:rPr>
          <w:lang w:val="en-CA"/>
        </w:rPr>
        <w:t>Queen's University Radiation Safety Manual</w:t>
      </w:r>
    </w:p>
    <w:p w14:paraId="535E801D" w14:textId="77777777" w:rsidR="00555E72" w:rsidRPr="00555E72" w:rsidRDefault="00555E72" w:rsidP="00555E72">
      <w:pPr>
        <w:numPr>
          <w:ilvl w:val="0"/>
          <w:numId w:val="10"/>
        </w:numPr>
        <w:rPr>
          <w:lang w:val="en-CA"/>
        </w:rPr>
      </w:pPr>
      <w:r w:rsidRPr="00555E72">
        <w:rPr>
          <w:lang w:val="en-CA"/>
        </w:rPr>
        <w:t>IAEA Safety Standards Series No. SSG-87, Section 10</w:t>
      </w:r>
    </w:p>
    <w:p w14:paraId="6B65B512" w14:textId="77777777" w:rsidR="00555E72" w:rsidRPr="00555E72" w:rsidRDefault="00555E72" w:rsidP="00555E72">
      <w:pPr>
        <w:numPr>
          <w:ilvl w:val="0"/>
          <w:numId w:val="10"/>
        </w:numPr>
        <w:rPr>
          <w:lang w:val="en-CA"/>
        </w:rPr>
      </w:pPr>
      <w:r w:rsidRPr="00555E72">
        <w:rPr>
          <w:lang w:val="en-CA"/>
        </w:rPr>
        <w:t>IAEA Safety Standards Series SSR-6 (Rev. 1)</w:t>
      </w:r>
    </w:p>
    <w:p w14:paraId="2CE5526E" w14:textId="77777777" w:rsidR="00555E72" w:rsidRDefault="00555E72" w:rsidP="00555E72">
      <w:pPr>
        <w:rPr>
          <w:lang w:val="en-CA"/>
        </w:rPr>
      </w:pPr>
    </w:p>
    <w:p w14:paraId="34E55E77" w14:textId="132FD404" w:rsidR="00555E72" w:rsidRPr="00555E72" w:rsidRDefault="00555E72" w:rsidP="00555E72">
      <w:pPr>
        <w:rPr>
          <w:lang w:val="en-CA"/>
        </w:rPr>
      </w:pPr>
      <w:r w:rsidRPr="00555E72">
        <w:rPr>
          <w:b/>
          <w:bCs/>
          <w:lang w:val="en-CA"/>
        </w:rPr>
        <w:t>4. Responsibilities</w:t>
      </w:r>
    </w:p>
    <w:p w14:paraId="2A2AD96A" w14:textId="77777777" w:rsidR="009136E2" w:rsidRDefault="009136E2" w:rsidP="00555E72">
      <w:pPr>
        <w:rPr>
          <w:b/>
          <w:bCs/>
          <w:lang w:val="en-CA"/>
        </w:rPr>
      </w:pPr>
    </w:p>
    <w:p w14:paraId="5E65BE84" w14:textId="104E62A4" w:rsidR="00555E72" w:rsidRPr="00555E72" w:rsidRDefault="00555E72" w:rsidP="00555E72">
      <w:pPr>
        <w:rPr>
          <w:lang w:val="en-CA"/>
        </w:rPr>
      </w:pPr>
      <w:r w:rsidRPr="00555E72">
        <w:rPr>
          <w:b/>
          <w:bCs/>
          <w:lang w:val="en-CA"/>
        </w:rPr>
        <w:t>4.1 Responsibilities of Directors, Department Heads, and Managers</w:t>
      </w:r>
    </w:p>
    <w:p w14:paraId="004AAC24" w14:textId="77777777" w:rsidR="00555E72" w:rsidRPr="00555E72" w:rsidRDefault="00555E72" w:rsidP="00555E72">
      <w:pPr>
        <w:numPr>
          <w:ilvl w:val="0"/>
          <w:numId w:val="11"/>
        </w:numPr>
        <w:rPr>
          <w:lang w:val="en-CA"/>
        </w:rPr>
      </w:pPr>
      <w:r w:rsidRPr="00555E72">
        <w:rPr>
          <w:lang w:val="en-CA"/>
        </w:rPr>
        <w:t>Ensure hazard assessments are completed for all areas under their authority</w:t>
      </w:r>
    </w:p>
    <w:p w14:paraId="4BBAA0EB" w14:textId="77777777" w:rsidR="00555E72" w:rsidRPr="00555E72" w:rsidRDefault="00555E72" w:rsidP="00555E72">
      <w:pPr>
        <w:numPr>
          <w:ilvl w:val="0"/>
          <w:numId w:val="11"/>
        </w:numPr>
        <w:rPr>
          <w:lang w:val="en-CA"/>
        </w:rPr>
      </w:pPr>
      <w:r w:rsidRPr="00555E72">
        <w:rPr>
          <w:lang w:val="en-CA"/>
        </w:rPr>
        <w:t>Implement this SOP in all facilities they oversee</w:t>
      </w:r>
    </w:p>
    <w:p w14:paraId="51BC27EB" w14:textId="77777777" w:rsidR="00555E72" w:rsidRPr="00555E72" w:rsidRDefault="00555E72" w:rsidP="00555E72">
      <w:pPr>
        <w:numPr>
          <w:ilvl w:val="0"/>
          <w:numId w:val="11"/>
        </w:numPr>
        <w:rPr>
          <w:lang w:val="en-CA"/>
        </w:rPr>
      </w:pPr>
      <w:r w:rsidRPr="00555E72">
        <w:rPr>
          <w:lang w:val="en-CA"/>
        </w:rPr>
        <w:t>Ensure relevant staff and students are trained in accordance with this SOP</w:t>
      </w:r>
    </w:p>
    <w:p w14:paraId="7D17ACD5" w14:textId="77777777" w:rsidR="009136E2" w:rsidRDefault="009136E2" w:rsidP="00555E72">
      <w:pPr>
        <w:rPr>
          <w:b/>
          <w:bCs/>
          <w:lang w:val="en-CA"/>
        </w:rPr>
      </w:pPr>
    </w:p>
    <w:p w14:paraId="3A5454B6" w14:textId="33AC892F" w:rsidR="00555E72" w:rsidRPr="00555E72" w:rsidRDefault="00555E72" w:rsidP="00555E72">
      <w:pPr>
        <w:rPr>
          <w:lang w:val="en-CA"/>
        </w:rPr>
      </w:pPr>
      <w:r w:rsidRPr="00555E72">
        <w:rPr>
          <w:b/>
          <w:bCs/>
          <w:lang w:val="en-CA"/>
        </w:rPr>
        <w:t xml:space="preserve">4.2 Responsibilities of </w:t>
      </w:r>
      <w:r w:rsidR="009136E2">
        <w:rPr>
          <w:b/>
          <w:bCs/>
          <w:lang w:val="en-CA"/>
        </w:rPr>
        <w:t>Permit Holders</w:t>
      </w:r>
    </w:p>
    <w:p w14:paraId="5042AB00" w14:textId="77777777" w:rsidR="00555E72" w:rsidRPr="00555E72" w:rsidRDefault="00555E72" w:rsidP="00555E72">
      <w:pPr>
        <w:numPr>
          <w:ilvl w:val="0"/>
          <w:numId w:val="12"/>
        </w:numPr>
        <w:rPr>
          <w:lang w:val="en-CA"/>
        </w:rPr>
      </w:pPr>
      <w:r w:rsidRPr="00555E72">
        <w:rPr>
          <w:lang w:val="en-CA"/>
        </w:rPr>
        <w:t>Understand and communicate hazards in their respective areas</w:t>
      </w:r>
    </w:p>
    <w:p w14:paraId="28A6F385" w14:textId="77777777" w:rsidR="00555E72" w:rsidRPr="00555E72" w:rsidRDefault="00555E72" w:rsidP="00555E72">
      <w:pPr>
        <w:numPr>
          <w:ilvl w:val="0"/>
          <w:numId w:val="12"/>
        </w:numPr>
        <w:rPr>
          <w:lang w:val="en-CA"/>
        </w:rPr>
      </w:pPr>
      <w:r w:rsidRPr="00555E72">
        <w:rPr>
          <w:lang w:val="en-CA"/>
        </w:rPr>
        <w:lastRenderedPageBreak/>
        <w:t>Ensure all staff/students are aware of hazards and trained in safe transport procedures</w:t>
      </w:r>
    </w:p>
    <w:p w14:paraId="27D90AF6" w14:textId="77777777" w:rsidR="00555E72" w:rsidRPr="00555E72" w:rsidRDefault="00555E72" w:rsidP="00555E72">
      <w:pPr>
        <w:numPr>
          <w:ilvl w:val="0"/>
          <w:numId w:val="12"/>
        </w:numPr>
        <w:rPr>
          <w:lang w:val="en-CA"/>
        </w:rPr>
      </w:pPr>
      <w:r w:rsidRPr="00555E72">
        <w:rPr>
          <w:lang w:val="en-CA"/>
        </w:rPr>
        <w:t>Verify proper use of packaging, labeling, and safety equipment</w:t>
      </w:r>
    </w:p>
    <w:p w14:paraId="590A6604" w14:textId="77777777" w:rsidR="009136E2" w:rsidRDefault="009136E2" w:rsidP="00555E72">
      <w:pPr>
        <w:rPr>
          <w:b/>
          <w:bCs/>
          <w:lang w:val="en-CA"/>
        </w:rPr>
      </w:pPr>
    </w:p>
    <w:p w14:paraId="4C864A72" w14:textId="48E374F3" w:rsidR="00555E72" w:rsidRPr="00555E72" w:rsidRDefault="00555E72" w:rsidP="00555E72">
      <w:pPr>
        <w:rPr>
          <w:lang w:val="en-CA"/>
        </w:rPr>
      </w:pPr>
      <w:r w:rsidRPr="00555E72">
        <w:rPr>
          <w:b/>
          <w:bCs/>
          <w:lang w:val="en-CA"/>
        </w:rPr>
        <w:t>4.3 Responsibilities of Staff and Students</w:t>
      </w:r>
    </w:p>
    <w:p w14:paraId="56E2D167" w14:textId="77777777" w:rsidR="00555E72" w:rsidRPr="00555E72" w:rsidRDefault="00555E72" w:rsidP="00555E72">
      <w:pPr>
        <w:numPr>
          <w:ilvl w:val="0"/>
          <w:numId w:val="13"/>
        </w:numPr>
        <w:rPr>
          <w:lang w:val="en-CA"/>
        </w:rPr>
      </w:pPr>
      <w:r w:rsidRPr="00555E72">
        <w:rPr>
          <w:lang w:val="en-CA"/>
        </w:rPr>
        <w:t>Familiarize themselves with this SOP and receive required safety training</w:t>
      </w:r>
    </w:p>
    <w:p w14:paraId="56883C07" w14:textId="77777777" w:rsidR="00555E72" w:rsidRPr="00555E72" w:rsidRDefault="00555E72" w:rsidP="00555E72">
      <w:pPr>
        <w:numPr>
          <w:ilvl w:val="0"/>
          <w:numId w:val="13"/>
        </w:numPr>
        <w:rPr>
          <w:lang w:val="en-CA"/>
        </w:rPr>
      </w:pPr>
      <w:r w:rsidRPr="00555E72">
        <w:rPr>
          <w:lang w:val="en-CA"/>
        </w:rPr>
        <w:t>Follow all instructions for safe packaging and transport</w:t>
      </w:r>
    </w:p>
    <w:p w14:paraId="4373A9B1" w14:textId="787AF01C" w:rsidR="00555E72" w:rsidRPr="00555E72" w:rsidRDefault="00555E72" w:rsidP="00555E72">
      <w:pPr>
        <w:numPr>
          <w:ilvl w:val="0"/>
          <w:numId w:val="13"/>
        </w:numPr>
        <w:rPr>
          <w:lang w:val="en-CA"/>
        </w:rPr>
      </w:pPr>
      <w:r w:rsidRPr="00555E72">
        <w:rPr>
          <w:lang w:val="en-CA"/>
        </w:rPr>
        <w:t>Immediately report any spills, exposures, or unusual incidents to a supervisor or R</w:t>
      </w:r>
      <w:r w:rsidR="001423C9">
        <w:rPr>
          <w:lang w:val="en-CA"/>
        </w:rPr>
        <w:t>S</w:t>
      </w:r>
      <w:r w:rsidRPr="00555E72">
        <w:rPr>
          <w:lang w:val="en-CA"/>
        </w:rPr>
        <w:t>O</w:t>
      </w:r>
    </w:p>
    <w:p w14:paraId="746ED640" w14:textId="77777777" w:rsidR="00555E72" w:rsidRDefault="00555E72" w:rsidP="00555E72">
      <w:pPr>
        <w:rPr>
          <w:lang w:val="en-CA"/>
        </w:rPr>
      </w:pPr>
    </w:p>
    <w:p w14:paraId="3F93FA81" w14:textId="7C020460" w:rsidR="00555E72" w:rsidRPr="00555E72" w:rsidRDefault="00555E72" w:rsidP="00555E72">
      <w:pPr>
        <w:rPr>
          <w:lang w:val="en-CA"/>
        </w:rPr>
      </w:pPr>
      <w:r w:rsidRPr="00555E72">
        <w:rPr>
          <w:b/>
          <w:bCs/>
          <w:lang w:val="en-CA"/>
        </w:rPr>
        <w:t>5. Definitions</w:t>
      </w:r>
    </w:p>
    <w:p w14:paraId="2AFDEFFF" w14:textId="77777777" w:rsidR="00555E72" w:rsidRPr="00555E72" w:rsidRDefault="00555E72" w:rsidP="00555E72">
      <w:pPr>
        <w:numPr>
          <w:ilvl w:val="0"/>
          <w:numId w:val="14"/>
        </w:numPr>
        <w:rPr>
          <w:lang w:val="en-CA"/>
        </w:rPr>
      </w:pPr>
      <w:r w:rsidRPr="00555E72">
        <w:rPr>
          <w:b/>
          <w:bCs/>
          <w:lang w:val="en-CA"/>
        </w:rPr>
        <w:t>Radioactive Material:</w:t>
      </w:r>
      <w:r w:rsidRPr="00555E72">
        <w:rPr>
          <w:lang w:val="en-CA"/>
        </w:rPr>
        <w:t xml:space="preserve"> Material that emits ionizing radiation and is regulated by the CNSC</w:t>
      </w:r>
    </w:p>
    <w:p w14:paraId="6AECC7E6" w14:textId="77777777" w:rsidR="00555E72" w:rsidRPr="00555E72" w:rsidRDefault="00555E72" w:rsidP="00555E72">
      <w:pPr>
        <w:numPr>
          <w:ilvl w:val="0"/>
          <w:numId w:val="14"/>
        </w:numPr>
        <w:rPr>
          <w:lang w:val="en-CA"/>
        </w:rPr>
      </w:pPr>
      <w:r w:rsidRPr="00555E72">
        <w:rPr>
          <w:b/>
          <w:bCs/>
          <w:lang w:val="en-CA"/>
        </w:rPr>
        <w:t>Transport Index (TI):</w:t>
      </w:r>
      <w:r w:rsidRPr="00555E72">
        <w:rPr>
          <w:lang w:val="en-CA"/>
        </w:rPr>
        <w:t xml:space="preserve"> Number representing radiation level at 1m from a package</w:t>
      </w:r>
    </w:p>
    <w:p w14:paraId="18BDC096" w14:textId="77777777" w:rsidR="00555E72" w:rsidRPr="00555E72" w:rsidRDefault="00555E72" w:rsidP="00555E72">
      <w:pPr>
        <w:numPr>
          <w:ilvl w:val="0"/>
          <w:numId w:val="14"/>
        </w:numPr>
        <w:rPr>
          <w:lang w:val="en-CA"/>
        </w:rPr>
      </w:pPr>
      <w:r w:rsidRPr="00555E72">
        <w:rPr>
          <w:b/>
          <w:bCs/>
          <w:lang w:val="en-CA"/>
        </w:rPr>
        <w:t>UN Number:</w:t>
      </w:r>
      <w:r w:rsidRPr="00555E72">
        <w:rPr>
          <w:lang w:val="en-CA"/>
        </w:rPr>
        <w:t xml:space="preserve"> Code identifying hazardous material during transport</w:t>
      </w:r>
    </w:p>
    <w:p w14:paraId="4292020D" w14:textId="77777777" w:rsidR="00555E72" w:rsidRPr="00555E72" w:rsidRDefault="00555E72" w:rsidP="00555E72">
      <w:pPr>
        <w:numPr>
          <w:ilvl w:val="0"/>
          <w:numId w:val="14"/>
        </w:numPr>
        <w:rPr>
          <w:lang w:val="en-CA"/>
        </w:rPr>
      </w:pPr>
      <w:r w:rsidRPr="00555E72">
        <w:rPr>
          <w:b/>
          <w:bCs/>
          <w:lang w:val="en-CA"/>
        </w:rPr>
        <w:t>Consignor:</w:t>
      </w:r>
      <w:r w:rsidRPr="00555E72">
        <w:rPr>
          <w:lang w:val="en-CA"/>
        </w:rPr>
        <w:t xml:space="preserve"> The sender of the radioactive material</w:t>
      </w:r>
    </w:p>
    <w:p w14:paraId="7665721A" w14:textId="77777777" w:rsidR="00555E72" w:rsidRPr="00555E72" w:rsidRDefault="00555E72" w:rsidP="00555E72">
      <w:pPr>
        <w:numPr>
          <w:ilvl w:val="0"/>
          <w:numId w:val="14"/>
        </w:numPr>
        <w:rPr>
          <w:lang w:val="en-CA"/>
        </w:rPr>
      </w:pPr>
      <w:r w:rsidRPr="00555E72">
        <w:rPr>
          <w:b/>
          <w:bCs/>
          <w:lang w:val="en-CA"/>
        </w:rPr>
        <w:t>Consignee:</w:t>
      </w:r>
      <w:r w:rsidRPr="00555E72">
        <w:rPr>
          <w:lang w:val="en-CA"/>
        </w:rPr>
        <w:t xml:space="preserve"> The receiver of the radioactive material</w:t>
      </w:r>
    </w:p>
    <w:p w14:paraId="2CD7574B" w14:textId="7C1825F3" w:rsidR="00555E72" w:rsidRPr="00555E72" w:rsidRDefault="00555E72" w:rsidP="00555E72">
      <w:pPr>
        <w:numPr>
          <w:ilvl w:val="0"/>
          <w:numId w:val="14"/>
        </w:numPr>
        <w:rPr>
          <w:lang w:val="en-CA"/>
        </w:rPr>
      </w:pPr>
      <w:r w:rsidRPr="00555E72">
        <w:rPr>
          <w:b/>
          <w:bCs/>
          <w:lang w:val="en-CA"/>
        </w:rPr>
        <w:t>R</w:t>
      </w:r>
      <w:r>
        <w:rPr>
          <w:b/>
          <w:bCs/>
          <w:lang w:val="en-CA"/>
        </w:rPr>
        <w:t>S</w:t>
      </w:r>
      <w:r w:rsidRPr="00555E72">
        <w:rPr>
          <w:b/>
          <w:bCs/>
          <w:lang w:val="en-CA"/>
        </w:rPr>
        <w:t>O:</w:t>
      </w:r>
      <w:r w:rsidRPr="00555E72">
        <w:rPr>
          <w:lang w:val="en-CA"/>
        </w:rPr>
        <w:t xml:space="preserve"> Radiation </w:t>
      </w:r>
      <w:r>
        <w:rPr>
          <w:lang w:val="en-CA"/>
        </w:rPr>
        <w:t>Safety</w:t>
      </w:r>
      <w:r w:rsidRPr="00555E72">
        <w:rPr>
          <w:lang w:val="en-CA"/>
        </w:rPr>
        <w:t xml:space="preserve"> Officer</w:t>
      </w:r>
    </w:p>
    <w:p w14:paraId="39381ADC" w14:textId="77777777" w:rsidR="00555E72" w:rsidRDefault="00555E72" w:rsidP="00555E72">
      <w:pPr>
        <w:rPr>
          <w:lang w:val="en-CA"/>
        </w:rPr>
      </w:pPr>
    </w:p>
    <w:p w14:paraId="1B9AB4EE" w14:textId="45967CA2" w:rsidR="00555E72" w:rsidRPr="00555E72" w:rsidRDefault="00555E72" w:rsidP="00555E72">
      <w:pPr>
        <w:rPr>
          <w:lang w:val="en-CA"/>
        </w:rPr>
      </w:pPr>
      <w:r w:rsidRPr="00555E72">
        <w:rPr>
          <w:b/>
          <w:bCs/>
          <w:lang w:val="en-CA"/>
        </w:rPr>
        <w:t>6. Safety Precautions</w:t>
      </w:r>
    </w:p>
    <w:p w14:paraId="191BD86B" w14:textId="77777777" w:rsidR="00555E72" w:rsidRPr="00555E72" w:rsidRDefault="00555E72" w:rsidP="00555E72">
      <w:pPr>
        <w:numPr>
          <w:ilvl w:val="0"/>
          <w:numId w:val="15"/>
        </w:numPr>
        <w:rPr>
          <w:lang w:val="en-CA"/>
        </w:rPr>
      </w:pPr>
      <w:r w:rsidRPr="00555E72">
        <w:rPr>
          <w:lang w:val="en-CA"/>
        </w:rPr>
        <w:t>Use certified lead/plexiglass shielding containers</w:t>
      </w:r>
    </w:p>
    <w:p w14:paraId="5C4A3F0F" w14:textId="77777777" w:rsidR="00555E72" w:rsidRPr="00555E72" w:rsidRDefault="00555E72" w:rsidP="00555E72">
      <w:pPr>
        <w:numPr>
          <w:ilvl w:val="0"/>
          <w:numId w:val="15"/>
        </w:numPr>
        <w:rPr>
          <w:lang w:val="en-CA"/>
        </w:rPr>
      </w:pPr>
      <w:r w:rsidRPr="00555E72">
        <w:rPr>
          <w:lang w:val="en-CA"/>
        </w:rPr>
        <w:t>Personal Protective Equipment (PPE): lab coat, gloves, safety goggles</w:t>
      </w:r>
    </w:p>
    <w:p w14:paraId="27621983" w14:textId="77777777" w:rsidR="00555E72" w:rsidRPr="00555E72" w:rsidRDefault="00555E72" w:rsidP="00555E72">
      <w:pPr>
        <w:numPr>
          <w:ilvl w:val="0"/>
          <w:numId w:val="15"/>
        </w:numPr>
        <w:rPr>
          <w:lang w:val="en-CA"/>
        </w:rPr>
      </w:pPr>
      <w:r w:rsidRPr="00555E72">
        <w:rPr>
          <w:lang w:val="en-CA"/>
        </w:rPr>
        <w:t>Use elevators rather than stairways</w:t>
      </w:r>
    </w:p>
    <w:p w14:paraId="7979821D" w14:textId="77777777" w:rsidR="00555E72" w:rsidRPr="00555E72" w:rsidRDefault="00555E72" w:rsidP="00555E72">
      <w:pPr>
        <w:numPr>
          <w:ilvl w:val="0"/>
          <w:numId w:val="15"/>
        </w:numPr>
        <w:rPr>
          <w:lang w:val="en-CA"/>
        </w:rPr>
      </w:pPr>
      <w:r w:rsidRPr="00555E72">
        <w:rPr>
          <w:lang w:val="en-CA"/>
        </w:rPr>
        <w:t>Never transport radioactive materials in personal vehicles</w:t>
      </w:r>
    </w:p>
    <w:p w14:paraId="45819656" w14:textId="67D7D756" w:rsidR="00555E72" w:rsidRPr="00555E72" w:rsidRDefault="00555E72" w:rsidP="00555E72">
      <w:pPr>
        <w:numPr>
          <w:ilvl w:val="0"/>
          <w:numId w:val="15"/>
        </w:numPr>
        <w:rPr>
          <w:lang w:val="en-CA"/>
        </w:rPr>
      </w:pPr>
      <w:r w:rsidRPr="00555E72">
        <w:rPr>
          <w:lang w:val="en-CA"/>
        </w:rPr>
        <w:t>Emergency spill kits and radiation survey meters must be available</w:t>
      </w:r>
      <w:r w:rsidR="00040BD6">
        <w:rPr>
          <w:lang w:val="en-CA"/>
        </w:rPr>
        <w:t xml:space="preserve"> (Appendix </w:t>
      </w:r>
      <w:r w:rsidR="00D43B90">
        <w:rPr>
          <w:lang w:val="en-CA"/>
        </w:rPr>
        <w:t>1</w:t>
      </w:r>
      <w:r w:rsidR="00040BD6">
        <w:rPr>
          <w:lang w:val="en-CA"/>
        </w:rPr>
        <w:t xml:space="preserve"> – </w:t>
      </w:r>
      <w:r w:rsidR="00641AFE">
        <w:rPr>
          <w:lang w:val="en-CA"/>
        </w:rPr>
        <w:t xml:space="preserve">Emergency Procedure for Spills and Exposure to </w:t>
      </w:r>
      <w:r w:rsidR="00FE29BD">
        <w:rPr>
          <w:lang w:val="en-CA"/>
        </w:rPr>
        <w:t xml:space="preserve">Radioactive Material – Queen’s </w:t>
      </w:r>
      <w:r w:rsidR="00040BD6">
        <w:rPr>
          <w:lang w:val="en-CA"/>
        </w:rPr>
        <w:t xml:space="preserve">Radiation Safety Manual page </w:t>
      </w:r>
      <w:r w:rsidR="00FE29BD">
        <w:rPr>
          <w:lang w:val="en-CA"/>
        </w:rPr>
        <w:t>27)</w:t>
      </w:r>
    </w:p>
    <w:p w14:paraId="5F645B2B" w14:textId="77777777" w:rsidR="00555E72" w:rsidRDefault="00555E72" w:rsidP="00555E72">
      <w:pPr>
        <w:rPr>
          <w:b/>
          <w:bCs/>
          <w:lang w:val="en-CA"/>
        </w:rPr>
      </w:pPr>
    </w:p>
    <w:p w14:paraId="6B2006E3" w14:textId="5FE7EC62" w:rsidR="00555E72" w:rsidRPr="00555E72" w:rsidRDefault="00555E72" w:rsidP="00555E72">
      <w:pPr>
        <w:rPr>
          <w:lang w:val="en-CA"/>
        </w:rPr>
      </w:pPr>
      <w:r w:rsidRPr="00555E72">
        <w:rPr>
          <w:b/>
          <w:bCs/>
          <w:lang w:val="en-CA"/>
        </w:rPr>
        <w:t>7. Work Practices</w:t>
      </w:r>
    </w:p>
    <w:p w14:paraId="1B008C86" w14:textId="77777777" w:rsidR="00CF1F49" w:rsidRDefault="00CF1F49" w:rsidP="00555E72">
      <w:pPr>
        <w:rPr>
          <w:b/>
          <w:bCs/>
          <w:lang w:val="en-CA"/>
        </w:rPr>
      </w:pPr>
    </w:p>
    <w:p w14:paraId="46B534EA" w14:textId="3AC4626C" w:rsidR="00555E72" w:rsidRPr="00555E72" w:rsidRDefault="00CF1F49" w:rsidP="00555E72">
      <w:pPr>
        <w:rPr>
          <w:lang w:val="en-CA"/>
        </w:rPr>
      </w:pPr>
      <w:r>
        <w:rPr>
          <w:b/>
          <w:bCs/>
          <w:lang w:val="en-CA"/>
        </w:rPr>
        <w:t xml:space="preserve">7.1 </w:t>
      </w:r>
      <w:r w:rsidR="00555E72" w:rsidRPr="00555E72">
        <w:rPr>
          <w:b/>
          <w:bCs/>
          <w:lang w:val="en-CA"/>
        </w:rPr>
        <w:t>Internal Transfers:</w:t>
      </w:r>
    </w:p>
    <w:p w14:paraId="30BBD7FD" w14:textId="1344D227" w:rsidR="00555E72" w:rsidRDefault="00555E72" w:rsidP="00555E72">
      <w:pPr>
        <w:numPr>
          <w:ilvl w:val="0"/>
          <w:numId w:val="16"/>
        </w:numPr>
        <w:rPr>
          <w:lang w:val="en-CA"/>
        </w:rPr>
      </w:pPr>
      <w:r w:rsidRPr="00555E72">
        <w:rPr>
          <w:lang w:val="en-CA"/>
        </w:rPr>
        <w:t>Verify receiving lab has an internal radioisotope permit</w:t>
      </w:r>
      <w:r w:rsidR="002A7E88">
        <w:rPr>
          <w:lang w:val="en-CA"/>
        </w:rPr>
        <w:t xml:space="preserve">. </w:t>
      </w:r>
    </w:p>
    <w:p w14:paraId="07EDBCCA" w14:textId="2518EFFE" w:rsidR="00313EE6" w:rsidRPr="00555E72" w:rsidRDefault="00313EE6" w:rsidP="00555E72">
      <w:pPr>
        <w:numPr>
          <w:ilvl w:val="0"/>
          <w:numId w:val="16"/>
        </w:numPr>
        <w:rPr>
          <w:lang w:val="en-CA"/>
        </w:rPr>
      </w:pPr>
      <w:r>
        <w:rPr>
          <w:lang w:val="en-CA"/>
        </w:rPr>
        <w:t xml:space="preserve">Notify the Radiation Safety Officer </w:t>
      </w:r>
      <w:r w:rsidR="004B1D60">
        <w:rPr>
          <w:lang w:val="en-CA"/>
        </w:rPr>
        <w:t>about the transfer of the source</w:t>
      </w:r>
      <w:r w:rsidR="002A7E88">
        <w:rPr>
          <w:lang w:val="en-CA"/>
        </w:rPr>
        <w:t xml:space="preserve"> and provide a copy of </w:t>
      </w:r>
      <w:r w:rsidR="002B582D">
        <w:rPr>
          <w:lang w:val="en-CA"/>
        </w:rPr>
        <w:t>a Nuclear Material and Device Transfer Log (Appendix A</w:t>
      </w:r>
      <w:r w:rsidR="00846112">
        <w:rPr>
          <w:lang w:val="en-CA"/>
        </w:rPr>
        <w:t xml:space="preserve"> this SOP</w:t>
      </w:r>
      <w:r w:rsidR="002B582D">
        <w:rPr>
          <w:lang w:val="en-CA"/>
        </w:rPr>
        <w:t>)</w:t>
      </w:r>
    </w:p>
    <w:p w14:paraId="4BDAF4DA" w14:textId="77777777" w:rsidR="00BB700C" w:rsidRDefault="00555E72" w:rsidP="00555E72">
      <w:pPr>
        <w:numPr>
          <w:ilvl w:val="0"/>
          <w:numId w:val="16"/>
        </w:numPr>
        <w:rPr>
          <w:lang w:val="en-CA"/>
        </w:rPr>
      </w:pPr>
      <w:r w:rsidRPr="00555E72">
        <w:rPr>
          <w:lang w:val="en-CA"/>
        </w:rPr>
        <w:t>Package material in secondary containment and shielded carrier</w:t>
      </w:r>
      <w:r w:rsidR="00F80E5B">
        <w:rPr>
          <w:lang w:val="en-CA"/>
        </w:rPr>
        <w:t xml:space="preserve">. </w:t>
      </w:r>
    </w:p>
    <w:p w14:paraId="3159DCBA" w14:textId="452F4A4B" w:rsidR="00555E72" w:rsidRPr="00555E72" w:rsidRDefault="00F80E5B" w:rsidP="00555E72">
      <w:pPr>
        <w:numPr>
          <w:ilvl w:val="0"/>
          <w:numId w:val="16"/>
        </w:numPr>
        <w:rPr>
          <w:lang w:val="en-CA"/>
        </w:rPr>
      </w:pPr>
      <w:r>
        <w:rPr>
          <w:lang w:val="en-CA"/>
        </w:rPr>
        <w:t xml:space="preserve">Dispersible sources </w:t>
      </w:r>
      <w:r w:rsidR="00453E3F">
        <w:rPr>
          <w:lang w:val="en-CA"/>
        </w:rPr>
        <w:t>(e.g.</w:t>
      </w:r>
      <w:r w:rsidR="00445942">
        <w:rPr>
          <w:lang w:val="en-CA"/>
        </w:rPr>
        <w:t xml:space="preserve"> </w:t>
      </w:r>
      <w:r w:rsidR="00453E3F">
        <w:rPr>
          <w:lang w:val="en-CA"/>
        </w:rPr>
        <w:t xml:space="preserve">radioactive liquids) should be housed in a sealed container that includes sufficient absorbent material </w:t>
      </w:r>
      <w:r w:rsidR="00D910AF">
        <w:rPr>
          <w:lang w:val="en-CA"/>
        </w:rPr>
        <w:t xml:space="preserve">to keep any spill within the containment system. </w:t>
      </w:r>
    </w:p>
    <w:p w14:paraId="5F75A0E9" w14:textId="77777777" w:rsidR="00555E72" w:rsidRDefault="00555E72" w:rsidP="00555E72">
      <w:pPr>
        <w:numPr>
          <w:ilvl w:val="0"/>
          <w:numId w:val="16"/>
        </w:numPr>
        <w:rPr>
          <w:lang w:val="en-CA"/>
        </w:rPr>
      </w:pPr>
      <w:r w:rsidRPr="00555E72">
        <w:rPr>
          <w:lang w:val="en-CA"/>
        </w:rPr>
        <w:t>Label package with isotope, activity, and "Radioactive" symbol</w:t>
      </w:r>
    </w:p>
    <w:p w14:paraId="7DF5A958" w14:textId="5084BFB8" w:rsidR="00BB700C" w:rsidRPr="00555E72" w:rsidRDefault="00AA2A6B" w:rsidP="00555E72">
      <w:pPr>
        <w:numPr>
          <w:ilvl w:val="0"/>
          <w:numId w:val="16"/>
        </w:numPr>
        <w:rPr>
          <w:lang w:val="en-CA"/>
        </w:rPr>
      </w:pPr>
      <w:r>
        <w:rPr>
          <w:lang w:val="en-CA"/>
        </w:rPr>
        <w:t xml:space="preserve">Containers should be moved on a cart or trolley </w:t>
      </w:r>
      <w:r w:rsidR="00174D5A">
        <w:rPr>
          <w:lang w:val="en-CA"/>
        </w:rPr>
        <w:t xml:space="preserve">under the direct supervision of an authorized person. </w:t>
      </w:r>
    </w:p>
    <w:p w14:paraId="3EAB0694" w14:textId="0ACE20D6" w:rsidR="00555E72" w:rsidRPr="00555E72" w:rsidRDefault="00555E72" w:rsidP="00555E72">
      <w:pPr>
        <w:numPr>
          <w:ilvl w:val="0"/>
          <w:numId w:val="16"/>
        </w:numPr>
        <w:rPr>
          <w:lang w:val="en-CA"/>
        </w:rPr>
      </w:pPr>
      <w:r w:rsidRPr="00555E72">
        <w:rPr>
          <w:lang w:val="en-CA"/>
        </w:rPr>
        <w:t>Update inventory logs in both sending and receiving labs</w:t>
      </w:r>
      <w:r w:rsidR="003E471E">
        <w:rPr>
          <w:lang w:val="en-CA"/>
        </w:rPr>
        <w:t>. (Appendix B</w:t>
      </w:r>
      <w:r w:rsidR="00846112">
        <w:rPr>
          <w:lang w:val="en-CA"/>
        </w:rPr>
        <w:t xml:space="preserve"> this SOP</w:t>
      </w:r>
      <w:r w:rsidR="003E471E">
        <w:rPr>
          <w:lang w:val="en-CA"/>
        </w:rPr>
        <w:t>)</w:t>
      </w:r>
    </w:p>
    <w:p w14:paraId="7A5EF73E" w14:textId="2465061D" w:rsidR="00445942" w:rsidRPr="00CE659C" w:rsidRDefault="00555E72" w:rsidP="00CE659C">
      <w:pPr>
        <w:numPr>
          <w:ilvl w:val="0"/>
          <w:numId w:val="16"/>
        </w:numPr>
        <w:rPr>
          <w:lang w:val="en-CA"/>
        </w:rPr>
      </w:pPr>
      <w:r w:rsidRPr="00555E72">
        <w:rPr>
          <w:lang w:val="en-CA"/>
        </w:rPr>
        <w:lastRenderedPageBreak/>
        <w:t>Recipient must perform contamination monitoring on arrival</w:t>
      </w:r>
      <w:r w:rsidR="00445942">
        <w:rPr>
          <w:lang w:val="en-CA"/>
        </w:rPr>
        <w:t xml:space="preserve"> as per </w:t>
      </w:r>
      <w:r w:rsidR="00FA3D55">
        <w:rPr>
          <w:lang w:val="en-CA"/>
        </w:rPr>
        <w:t xml:space="preserve">Appendix 12 </w:t>
      </w:r>
      <w:r w:rsidR="009F6E4F">
        <w:rPr>
          <w:lang w:val="en-CA"/>
        </w:rPr>
        <w:t xml:space="preserve">Contamination Measurement – Queen’s Radiation Safety Manual page 57. </w:t>
      </w:r>
      <w:r w:rsidR="00CE659C">
        <w:rPr>
          <w:lang w:val="en-CA"/>
        </w:rPr>
        <w:t xml:space="preserve"> Keep </w:t>
      </w:r>
      <w:r w:rsidR="00013650">
        <w:rPr>
          <w:lang w:val="en-CA"/>
        </w:rPr>
        <w:t xml:space="preserve">the </w:t>
      </w:r>
      <w:r w:rsidR="00CE659C">
        <w:rPr>
          <w:lang w:val="en-CA"/>
        </w:rPr>
        <w:t>record</w:t>
      </w:r>
      <w:r w:rsidR="00013650">
        <w:rPr>
          <w:lang w:val="en-CA"/>
        </w:rPr>
        <w:t xml:space="preserve">s </w:t>
      </w:r>
    </w:p>
    <w:p w14:paraId="3D5AB6B0" w14:textId="11682935" w:rsidR="002054BF" w:rsidRPr="00555E72" w:rsidRDefault="005C5E8D" w:rsidP="00555E72">
      <w:pPr>
        <w:numPr>
          <w:ilvl w:val="0"/>
          <w:numId w:val="16"/>
        </w:numPr>
        <w:rPr>
          <w:lang w:val="en-CA"/>
        </w:rPr>
      </w:pPr>
      <w:r>
        <w:rPr>
          <w:lang w:val="en-CA"/>
        </w:rPr>
        <w:t xml:space="preserve">Open the packages following the guidelines for handling </w:t>
      </w:r>
      <w:r w:rsidR="00CD474A">
        <w:rPr>
          <w:lang w:val="en-CA"/>
        </w:rPr>
        <w:t xml:space="preserve">packages containing unsealed nuclear substances </w:t>
      </w:r>
      <w:r w:rsidR="00760992">
        <w:rPr>
          <w:lang w:val="en-CA"/>
        </w:rPr>
        <w:t xml:space="preserve">(Appendix </w:t>
      </w:r>
      <w:r w:rsidR="00040BD6">
        <w:rPr>
          <w:lang w:val="en-CA"/>
        </w:rPr>
        <w:t>20 – Queen’s Radiation Safety Manual page 80</w:t>
      </w:r>
      <w:r w:rsidR="00760992">
        <w:rPr>
          <w:lang w:val="en-CA"/>
        </w:rPr>
        <w:t>)</w:t>
      </w:r>
    </w:p>
    <w:p w14:paraId="32E673E4" w14:textId="77777777" w:rsidR="00555E72" w:rsidRDefault="00555E72" w:rsidP="00555E72">
      <w:pPr>
        <w:rPr>
          <w:b/>
          <w:bCs/>
          <w:lang w:val="en-CA"/>
        </w:rPr>
      </w:pPr>
    </w:p>
    <w:p w14:paraId="185BB27D" w14:textId="5638DC24" w:rsidR="00555E72" w:rsidRDefault="00CF1F49" w:rsidP="00555E72">
      <w:pPr>
        <w:rPr>
          <w:b/>
          <w:bCs/>
          <w:lang w:val="en-CA"/>
        </w:rPr>
      </w:pPr>
      <w:r>
        <w:rPr>
          <w:b/>
          <w:bCs/>
          <w:lang w:val="en-CA"/>
        </w:rPr>
        <w:t xml:space="preserve">7.2 </w:t>
      </w:r>
      <w:r w:rsidR="00555E72" w:rsidRPr="00555E72">
        <w:rPr>
          <w:b/>
          <w:bCs/>
          <w:lang w:val="en-CA"/>
        </w:rPr>
        <w:t>External Transfers:</w:t>
      </w:r>
    </w:p>
    <w:p w14:paraId="1D055F87" w14:textId="77777777" w:rsidR="00FA6D96" w:rsidRPr="001D33DA" w:rsidRDefault="00FA6D96" w:rsidP="00FA6D96">
      <w:pPr>
        <w:shd w:val="clear" w:color="auto" w:fill="FFFFFF"/>
        <w:spacing w:before="100" w:beforeAutospacing="1"/>
      </w:pPr>
      <w:r w:rsidRPr="001D33DA">
        <w:rPr>
          <w:b/>
          <w:bCs/>
        </w:rPr>
        <w:t>TDG Compliance:</w:t>
      </w:r>
      <w:r w:rsidRPr="001D33DA">
        <w:t> All nuclear substances and radiation devices must be packaged and shipped according to TDG - Class 7 regulations. The RSO maintains this certification and can provide guidance on compliant packaging and shipping procedures.</w:t>
      </w:r>
    </w:p>
    <w:p w14:paraId="44737968" w14:textId="77777777" w:rsidR="00FA6D96" w:rsidRPr="00555E72" w:rsidRDefault="00FA6D96" w:rsidP="00555E72">
      <w:pPr>
        <w:rPr>
          <w:lang w:val="en-CA"/>
        </w:rPr>
      </w:pPr>
    </w:p>
    <w:p w14:paraId="10DB1E49" w14:textId="5FCDC2D9" w:rsidR="00555E72" w:rsidRPr="00555E72" w:rsidRDefault="00555E72" w:rsidP="00555E72">
      <w:pPr>
        <w:numPr>
          <w:ilvl w:val="0"/>
          <w:numId w:val="17"/>
        </w:numPr>
        <w:rPr>
          <w:lang w:val="en-CA"/>
        </w:rPr>
      </w:pPr>
      <w:r w:rsidRPr="00555E72">
        <w:rPr>
          <w:lang w:val="en-CA"/>
        </w:rPr>
        <w:t>Obtain R</w:t>
      </w:r>
      <w:r w:rsidR="00B84205">
        <w:rPr>
          <w:lang w:val="en-CA"/>
        </w:rPr>
        <w:t>S</w:t>
      </w:r>
      <w:r w:rsidRPr="00555E72">
        <w:rPr>
          <w:lang w:val="en-CA"/>
        </w:rPr>
        <w:t>O authorization and confirm recipient licensing</w:t>
      </w:r>
      <w:r w:rsidR="00AD078D">
        <w:rPr>
          <w:lang w:val="en-CA"/>
        </w:rPr>
        <w:t xml:space="preserve">. </w:t>
      </w:r>
    </w:p>
    <w:p w14:paraId="412584D3" w14:textId="77777777" w:rsidR="00555E72" w:rsidRPr="00555E72" w:rsidRDefault="00555E72" w:rsidP="00555E72">
      <w:pPr>
        <w:numPr>
          <w:ilvl w:val="0"/>
          <w:numId w:val="17"/>
        </w:numPr>
        <w:rPr>
          <w:lang w:val="en-CA"/>
        </w:rPr>
      </w:pPr>
      <w:r w:rsidRPr="00555E72">
        <w:rPr>
          <w:lang w:val="en-CA"/>
        </w:rPr>
        <w:t>Package in Type A/B/C containers per CNSC classification</w:t>
      </w:r>
    </w:p>
    <w:p w14:paraId="5765763B" w14:textId="77777777" w:rsidR="00555E72" w:rsidRPr="00555E72" w:rsidRDefault="00555E72" w:rsidP="00555E72">
      <w:pPr>
        <w:numPr>
          <w:ilvl w:val="0"/>
          <w:numId w:val="17"/>
        </w:numPr>
        <w:rPr>
          <w:lang w:val="en-CA"/>
        </w:rPr>
      </w:pPr>
      <w:r w:rsidRPr="00555E72">
        <w:rPr>
          <w:lang w:val="en-CA"/>
        </w:rPr>
        <w:t>Label packages with UN number, Radioactive Category I/II/III label, and TI</w:t>
      </w:r>
    </w:p>
    <w:p w14:paraId="6A759EA1" w14:textId="77777777" w:rsidR="00555E72" w:rsidRPr="00555E72" w:rsidRDefault="00555E72" w:rsidP="00555E72">
      <w:pPr>
        <w:numPr>
          <w:ilvl w:val="0"/>
          <w:numId w:val="17"/>
        </w:numPr>
        <w:rPr>
          <w:lang w:val="en-CA"/>
        </w:rPr>
      </w:pPr>
      <w:r w:rsidRPr="00555E72">
        <w:rPr>
          <w:lang w:val="en-CA"/>
        </w:rPr>
        <w:t>Complete and include TDG Shipper’s Declaration</w:t>
      </w:r>
    </w:p>
    <w:p w14:paraId="3D538797" w14:textId="412E891F" w:rsidR="00555E72" w:rsidRPr="00555E72" w:rsidRDefault="00555E72" w:rsidP="00555E72">
      <w:pPr>
        <w:numPr>
          <w:ilvl w:val="0"/>
          <w:numId w:val="17"/>
        </w:numPr>
        <w:rPr>
          <w:lang w:val="en-CA"/>
        </w:rPr>
      </w:pPr>
      <w:r w:rsidRPr="00555E72">
        <w:rPr>
          <w:lang w:val="en-CA"/>
        </w:rPr>
        <w:t>Use trained/licensed HAZMAT transport providers</w:t>
      </w:r>
      <w:r w:rsidR="005315CD">
        <w:rPr>
          <w:lang w:val="en-CA"/>
        </w:rPr>
        <w:t>.</w:t>
      </w:r>
    </w:p>
    <w:p w14:paraId="4885846C" w14:textId="495626B8" w:rsidR="00555E72" w:rsidRDefault="00555E72" w:rsidP="00555E72">
      <w:pPr>
        <w:numPr>
          <w:ilvl w:val="0"/>
          <w:numId w:val="17"/>
        </w:numPr>
        <w:rPr>
          <w:lang w:val="en-CA"/>
        </w:rPr>
      </w:pPr>
      <w:r w:rsidRPr="00555E72">
        <w:rPr>
          <w:lang w:val="en-CA"/>
        </w:rPr>
        <w:t>Maintain emergency contact information and placard vehicle as required</w:t>
      </w:r>
      <w:r w:rsidR="005315CD">
        <w:rPr>
          <w:lang w:val="en-CA"/>
        </w:rPr>
        <w:t xml:space="preserve">. </w:t>
      </w:r>
    </w:p>
    <w:p w14:paraId="64603F84" w14:textId="77777777" w:rsidR="001F748C" w:rsidRPr="001D33DA" w:rsidRDefault="001F748C" w:rsidP="001F748C">
      <w:pPr>
        <w:shd w:val="clear" w:color="auto" w:fill="FFFFFF"/>
        <w:spacing w:before="100" w:beforeAutospacing="1" w:after="100" w:afterAutospacing="1"/>
      </w:pPr>
      <w:r w:rsidRPr="001D33DA">
        <w:rPr>
          <w:b/>
          <w:bCs/>
        </w:rPr>
        <w:t>Additional Considerations</w:t>
      </w:r>
    </w:p>
    <w:p w14:paraId="5B71A65C" w14:textId="654AD247" w:rsidR="001F748C" w:rsidRPr="001D33DA" w:rsidRDefault="001F748C" w:rsidP="001F748C">
      <w:pPr>
        <w:numPr>
          <w:ilvl w:val="0"/>
          <w:numId w:val="22"/>
        </w:numPr>
        <w:shd w:val="clear" w:color="auto" w:fill="FFFFFF"/>
        <w:spacing w:before="100" w:beforeAutospacing="1"/>
      </w:pPr>
      <w:r w:rsidRPr="001D33DA">
        <w:rPr>
          <w:b/>
          <w:bCs/>
        </w:rPr>
        <w:t>Transfer Log:</w:t>
      </w:r>
      <w:r w:rsidRPr="001D33DA">
        <w:t xml:space="preserve"> An example of the required information in a nuclear substance and radiation device transfer log is available </w:t>
      </w:r>
      <w:r>
        <w:t xml:space="preserve">in Appendix A this SOP. </w:t>
      </w:r>
    </w:p>
    <w:p w14:paraId="3207F77B" w14:textId="77777777" w:rsidR="001F748C" w:rsidRPr="001D33DA" w:rsidRDefault="001F748C" w:rsidP="001F748C">
      <w:pPr>
        <w:numPr>
          <w:ilvl w:val="0"/>
          <w:numId w:val="22"/>
        </w:numPr>
        <w:shd w:val="clear" w:color="auto" w:fill="FFFFFF"/>
        <w:spacing w:before="100" w:beforeAutospacing="1"/>
      </w:pPr>
      <w:r w:rsidRPr="001D33DA">
        <w:rPr>
          <w:b/>
          <w:bCs/>
        </w:rPr>
        <w:t>Regulatory Compliance:</w:t>
      </w:r>
      <w:r w:rsidRPr="001D33DA">
        <w:t> In addition to TDG regulations, licensees must also comply with the Packaging and Transport of Nuclear Substances Regulations, 2015 when transporting radioactive materials.</w:t>
      </w:r>
    </w:p>
    <w:p w14:paraId="76ADFE46" w14:textId="77777777" w:rsidR="001F748C" w:rsidRPr="001D33DA" w:rsidRDefault="001F748C" w:rsidP="001F748C">
      <w:pPr>
        <w:numPr>
          <w:ilvl w:val="0"/>
          <w:numId w:val="22"/>
        </w:numPr>
        <w:shd w:val="clear" w:color="auto" w:fill="FFFFFF"/>
        <w:spacing w:before="100" w:beforeAutospacing="1"/>
      </w:pPr>
      <w:r w:rsidRPr="001D33DA">
        <w:rPr>
          <w:b/>
          <w:bCs/>
        </w:rPr>
        <w:t>Delivery Restrictions:</w:t>
      </w:r>
      <w:r w:rsidRPr="001D33DA">
        <w:t> Nuclear substances and radiation devices can only be delivered to locations pre-approved by the applicant. This includes providing a complete list of these sites (building name, address, and directions) to the supplier of the materials.</w:t>
      </w:r>
    </w:p>
    <w:p w14:paraId="7EBAEE98" w14:textId="77777777" w:rsidR="001F748C" w:rsidRDefault="001F748C" w:rsidP="001F748C">
      <w:pPr>
        <w:rPr>
          <w:lang w:val="en-CA"/>
        </w:rPr>
      </w:pPr>
    </w:p>
    <w:p w14:paraId="1B874BC1" w14:textId="4C6A2A4D" w:rsidR="00CF1F49" w:rsidRPr="001D33DA" w:rsidRDefault="00CF1F49" w:rsidP="00CF1F49">
      <w:pPr>
        <w:shd w:val="clear" w:color="auto" w:fill="FFFFFF"/>
        <w:spacing w:before="100" w:beforeAutospacing="1" w:after="100" w:afterAutospacing="1"/>
      </w:pPr>
      <w:r>
        <w:rPr>
          <w:b/>
          <w:bCs/>
        </w:rPr>
        <w:t xml:space="preserve">7.3 </w:t>
      </w:r>
      <w:r w:rsidRPr="001D33DA">
        <w:rPr>
          <w:b/>
          <w:bCs/>
        </w:rPr>
        <w:t>Inventory Management</w:t>
      </w:r>
    </w:p>
    <w:p w14:paraId="3071E63C" w14:textId="77777777" w:rsidR="00CF1F49" w:rsidRPr="001D33DA" w:rsidRDefault="00CF1F49" w:rsidP="00CF1F49">
      <w:pPr>
        <w:numPr>
          <w:ilvl w:val="0"/>
          <w:numId w:val="23"/>
        </w:numPr>
        <w:shd w:val="clear" w:color="auto" w:fill="FFFFFF"/>
        <w:spacing w:before="100" w:beforeAutospacing="1"/>
      </w:pPr>
      <w:r w:rsidRPr="001D33DA">
        <w:rPr>
          <w:b/>
          <w:bCs/>
        </w:rPr>
        <w:t>Recordkeeping Requirements:</w:t>
      </w:r>
      <w:r w:rsidRPr="001D33DA">
        <w:t> Accurate inventories of nuclear substances and radiation devices are essential. This includes any material in use, storage, or awaiting disposal. Records must be maintained in the areas where the materials are located and should include details such as:</w:t>
      </w:r>
    </w:p>
    <w:p w14:paraId="1C9A4B57" w14:textId="77777777" w:rsidR="00CF1F49" w:rsidRPr="001D33DA" w:rsidRDefault="00CF1F49" w:rsidP="00CF1F49">
      <w:pPr>
        <w:numPr>
          <w:ilvl w:val="1"/>
          <w:numId w:val="23"/>
        </w:numPr>
        <w:shd w:val="clear" w:color="auto" w:fill="FFFFFF"/>
        <w:spacing w:before="100" w:beforeAutospacing="1"/>
      </w:pPr>
      <w:r w:rsidRPr="001D33DA">
        <w:t>Name of the nuclear substance</w:t>
      </w:r>
    </w:p>
    <w:p w14:paraId="6648FD47" w14:textId="77777777" w:rsidR="00CF1F49" w:rsidRPr="001D33DA" w:rsidRDefault="00CF1F49" w:rsidP="00CF1F49">
      <w:pPr>
        <w:numPr>
          <w:ilvl w:val="1"/>
          <w:numId w:val="23"/>
        </w:numPr>
        <w:shd w:val="clear" w:color="auto" w:fill="FFFFFF"/>
        <w:spacing w:before="100" w:beforeAutospacing="1"/>
      </w:pPr>
      <w:r w:rsidRPr="001D33DA">
        <w:t>Quantity of nuclear substances</w:t>
      </w:r>
    </w:p>
    <w:p w14:paraId="1929813C" w14:textId="77777777" w:rsidR="00CF1F49" w:rsidRPr="001D33DA" w:rsidRDefault="00CF1F49" w:rsidP="00CF1F49">
      <w:pPr>
        <w:numPr>
          <w:ilvl w:val="1"/>
          <w:numId w:val="23"/>
        </w:numPr>
        <w:shd w:val="clear" w:color="auto" w:fill="FFFFFF"/>
        <w:spacing w:before="100" w:beforeAutospacing="1"/>
      </w:pPr>
      <w:r w:rsidRPr="001D33DA">
        <w:lastRenderedPageBreak/>
        <w:t>Physical form of nuclear substance (e.g., solid, liquid)</w:t>
      </w:r>
    </w:p>
    <w:p w14:paraId="684F989C" w14:textId="77777777" w:rsidR="00CF1F49" w:rsidRPr="001D33DA" w:rsidRDefault="00CF1F49" w:rsidP="00CF1F49">
      <w:pPr>
        <w:numPr>
          <w:ilvl w:val="1"/>
          <w:numId w:val="23"/>
        </w:numPr>
        <w:shd w:val="clear" w:color="auto" w:fill="FFFFFF"/>
        <w:spacing w:before="100" w:beforeAutospacing="1"/>
      </w:pPr>
      <w:r w:rsidRPr="001D33DA">
        <w:t>Location of the nuclear substance</w:t>
      </w:r>
    </w:p>
    <w:p w14:paraId="509E9341" w14:textId="77777777" w:rsidR="00CF1F49" w:rsidRPr="001D33DA" w:rsidRDefault="00CF1F49" w:rsidP="00CF1F49">
      <w:pPr>
        <w:numPr>
          <w:ilvl w:val="1"/>
          <w:numId w:val="23"/>
        </w:numPr>
        <w:shd w:val="clear" w:color="auto" w:fill="FFFFFF"/>
        <w:spacing w:before="100" w:beforeAutospacing="1"/>
      </w:pPr>
      <w:r w:rsidRPr="001D33DA">
        <w:t>Date of receipt</w:t>
      </w:r>
    </w:p>
    <w:p w14:paraId="6E8404BE" w14:textId="77777777" w:rsidR="00CF1F49" w:rsidRPr="001D33DA" w:rsidRDefault="00CF1F49" w:rsidP="00CF1F49">
      <w:pPr>
        <w:numPr>
          <w:ilvl w:val="1"/>
          <w:numId w:val="23"/>
        </w:numPr>
        <w:shd w:val="clear" w:color="auto" w:fill="FFFFFF"/>
        <w:spacing w:before="100" w:beforeAutospacing="1"/>
      </w:pPr>
      <w:r w:rsidRPr="001D33DA">
        <w:t>Name, address, and license number of the supplier (if applicable)</w:t>
      </w:r>
    </w:p>
    <w:p w14:paraId="59B6EEF3" w14:textId="77777777" w:rsidR="00CF1F49" w:rsidRPr="001D33DA" w:rsidRDefault="00CF1F49" w:rsidP="00CF1F49">
      <w:pPr>
        <w:numPr>
          <w:ilvl w:val="1"/>
          <w:numId w:val="23"/>
        </w:numPr>
        <w:shd w:val="clear" w:color="auto" w:fill="FFFFFF"/>
        <w:spacing w:before="100" w:beforeAutospacing="1"/>
      </w:pPr>
      <w:r w:rsidRPr="001D33DA">
        <w:t>Model and serial number of the radiation device (if applicable)</w:t>
      </w:r>
    </w:p>
    <w:p w14:paraId="59F9B8EB" w14:textId="419BE42E" w:rsidR="00CF1F49" w:rsidRPr="001D33DA" w:rsidRDefault="00925DD6" w:rsidP="00CF1F49">
      <w:pPr>
        <w:shd w:val="clear" w:color="auto" w:fill="FFFFFF"/>
        <w:spacing w:before="100" w:beforeAutospacing="1" w:after="100" w:afterAutospacing="1"/>
      </w:pPr>
      <w:r>
        <w:rPr>
          <w:b/>
          <w:bCs/>
        </w:rPr>
        <w:t xml:space="preserve">7.4 </w:t>
      </w:r>
      <w:r w:rsidR="00CF1F49" w:rsidRPr="001D33DA">
        <w:rPr>
          <w:b/>
          <w:bCs/>
        </w:rPr>
        <w:t>Transfer Documentation</w:t>
      </w:r>
    </w:p>
    <w:p w14:paraId="5C37E4A3" w14:textId="77777777" w:rsidR="00CF1F49" w:rsidRPr="001D33DA" w:rsidRDefault="00CF1F49" w:rsidP="00CF1F49">
      <w:pPr>
        <w:numPr>
          <w:ilvl w:val="0"/>
          <w:numId w:val="24"/>
        </w:numPr>
        <w:shd w:val="clear" w:color="auto" w:fill="FFFFFF"/>
        <w:spacing w:before="100" w:beforeAutospacing="1"/>
      </w:pPr>
      <w:r w:rsidRPr="001D33DA">
        <w:rPr>
          <w:b/>
          <w:bCs/>
        </w:rPr>
        <w:t>Complete Transfer Records:</w:t>
      </w:r>
      <w:r w:rsidRPr="001D33DA">
        <w:t> Comprehensive records must be maintained for all transfers or disposals of nuclear substances and radiation devices. Required transfer record details include:</w:t>
      </w:r>
    </w:p>
    <w:p w14:paraId="674B362D" w14:textId="77777777" w:rsidR="00CF1F49" w:rsidRPr="001D33DA" w:rsidRDefault="00CF1F49" w:rsidP="00CF1F49">
      <w:pPr>
        <w:numPr>
          <w:ilvl w:val="1"/>
          <w:numId w:val="24"/>
        </w:numPr>
        <w:shd w:val="clear" w:color="auto" w:fill="FFFFFF"/>
        <w:spacing w:before="100" w:beforeAutospacing="1"/>
      </w:pPr>
      <w:r w:rsidRPr="001D33DA">
        <w:t>Name of the nuclear substance</w:t>
      </w:r>
    </w:p>
    <w:p w14:paraId="4B6A4AF1" w14:textId="77777777" w:rsidR="00CF1F49" w:rsidRPr="001D33DA" w:rsidRDefault="00CF1F49" w:rsidP="00CF1F49">
      <w:pPr>
        <w:numPr>
          <w:ilvl w:val="1"/>
          <w:numId w:val="24"/>
        </w:numPr>
        <w:shd w:val="clear" w:color="auto" w:fill="FFFFFF"/>
        <w:spacing w:before="100" w:beforeAutospacing="1"/>
      </w:pPr>
      <w:r w:rsidRPr="001D33DA">
        <w:t>Quantity and form of the nuclear substance</w:t>
      </w:r>
    </w:p>
    <w:p w14:paraId="47C9DD49" w14:textId="77777777" w:rsidR="00CF1F49" w:rsidRPr="001D33DA" w:rsidRDefault="00CF1F49" w:rsidP="00CF1F49">
      <w:pPr>
        <w:numPr>
          <w:ilvl w:val="1"/>
          <w:numId w:val="24"/>
        </w:numPr>
        <w:shd w:val="clear" w:color="auto" w:fill="FFFFFF"/>
        <w:spacing w:before="100" w:beforeAutospacing="1"/>
      </w:pPr>
      <w:r w:rsidRPr="001D33DA">
        <w:t>Model and serial number of each sealed source (if applicable)</w:t>
      </w:r>
    </w:p>
    <w:p w14:paraId="263B1C47" w14:textId="77777777" w:rsidR="00CF1F49" w:rsidRPr="001D33DA" w:rsidRDefault="00CF1F49" w:rsidP="00CF1F49">
      <w:pPr>
        <w:numPr>
          <w:ilvl w:val="1"/>
          <w:numId w:val="24"/>
        </w:numPr>
        <w:shd w:val="clear" w:color="auto" w:fill="FFFFFF"/>
        <w:spacing w:before="100" w:beforeAutospacing="1"/>
      </w:pPr>
      <w:r w:rsidRPr="001D33DA">
        <w:t>Model and serial number of the radiation device (if applicable)</w:t>
      </w:r>
    </w:p>
    <w:p w14:paraId="44B892B4" w14:textId="77777777" w:rsidR="00CF1F49" w:rsidRPr="001D33DA" w:rsidRDefault="00CF1F49" w:rsidP="00CF1F49">
      <w:pPr>
        <w:numPr>
          <w:ilvl w:val="1"/>
          <w:numId w:val="24"/>
        </w:numPr>
        <w:shd w:val="clear" w:color="auto" w:fill="FFFFFF"/>
        <w:spacing w:before="100" w:beforeAutospacing="1"/>
      </w:pPr>
      <w:r w:rsidRPr="001D33DA">
        <w:t>Activity associated with the radiation device (if applicable)</w:t>
      </w:r>
    </w:p>
    <w:p w14:paraId="77E0E518" w14:textId="77777777" w:rsidR="00CF1F49" w:rsidRPr="001D33DA" w:rsidRDefault="00CF1F49" w:rsidP="00CF1F49">
      <w:pPr>
        <w:numPr>
          <w:ilvl w:val="1"/>
          <w:numId w:val="24"/>
        </w:numPr>
        <w:shd w:val="clear" w:color="auto" w:fill="FFFFFF"/>
        <w:spacing w:before="100" w:beforeAutospacing="1"/>
      </w:pPr>
      <w:r w:rsidRPr="001D33DA">
        <w:t>Date of transfer or disposal</w:t>
      </w:r>
    </w:p>
    <w:p w14:paraId="09C1C488" w14:textId="77777777" w:rsidR="00CF1F49" w:rsidRPr="001D33DA" w:rsidRDefault="00CF1F49" w:rsidP="00CF1F49">
      <w:pPr>
        <w:numPr>
          <w:ilvl w:val="1"/>
          <w:numId w:val="24"/>
        </w:numPr>
        <w:shd w:val="clear" w:color="auto" w:fill="FFFFFF"/>
        <w:spacing w:before="100" w:beforeAutospacing="1"/>
      </w:pPr>
      <w:r w:rsidRPr="001D33DA">
        <w:t>Recipient's name, address, and CNSC license number</w:t>
      </w:r>
    </w:p>
    <w:p w14:paraId="699D3DCA" w14:textId="77777777" w:rsidR="00CF1F49" w:rsidRPr="001D33DA" w:rsidRDefault="00CF1F49" w:rsidP="00CF1F49">
      <w:pPr>
        <w:numPr>
          <w:ilvl w:val="1"/>
          <w:numId w:val="24"/>
        </w:numPr>
        <w:shd w:val="clear" w:color="auto" w:fill="FFFFFF"/>
        <w:spacing w:before="100" w:beforeAutospacing="1"/>
      </w:pPr>
      <w:r w:rsidRPr="001D33DA">
        <w:t>Name and address of the destination</w:t>
      </w:r>
    </w:p>
    <w:p w14:paraId="50586AEA" w14:textId="77777777" w:rsidR="00CF1F49" w:rsidRPr="001D33DA" w:rsidRDefault="00CF1F49" w:rsidP="00CF1F49">
      <w:pPr>
        <w:numPr>
          <w:ilvl w:val="1"/>
          <w:numId w:val="24"/>
        </w:numPr>
        <w:shd w:val="clear" w:color="auto" w:fill="FFFFFF"/>
        <w:spacing w:before="100" w:beforeAutospacing="1"/>
      </w:pPr>
      <w:r w:rsidRPr="001D33DA">
        <w:t>Verification of safe arrival</w:t>
      </w:r>
    </w:p>
    <w:p w14:paraId="4DDFBDF5" w14:textId="77777777" w:rsidR="00CF1F49" w:rsidRPr="00555E72" w:rsidRDefault="00CF1F49" w:rsidP="001F748C">
      <w:pPr>
        <w:rPr>
          <w:lang w:val="en-CA"/>
        </w:rPr>
      </w:pPr>
    </w:p>
    <w:p w14:paraId="417FE77E" w14:textId="37D5057D" w:rsidR="00555E72" w:rsidRPr="00555E72" w:rsidRDefault="00555E72" w:rsidP="00555E72">
      <w:pPr>
        <w:rPr>
          <w:lang w:val="en-CA"/>
        </w:rPr>
      </w:pPr>
      <w:r w:rsidRPr="00555E72">
        <w:rPr>
          <w:b/>
          <w:bCs/>
          <w:lang w:val="en-CA"/>
        </w:rPr>
        <w:t>8. Training Requirements</w:t>
      </w:r>
    </w:p>
    <w:p w14:paraId="62E094A1" w14:textId="77777777" w:rsidR="00555E72" w:rsidRPr="00555E72" w:rsidRDefault="00555E72" w:rsidP="00555E72">
      <w:pPr>
        <w:numPr>
          <w:ilvl w:val="0"/>
          <w:numId w:val="18"/>
        </w:numPr>
        <w:rPr>
          <w:lang w:val="en-CA"/>
        </w:rPr>
      </w:pPr>
      <w:r w:rsidRPr="00555E72">
        <w:rPr>
          <w:lang w:val="en-CA"/>
        </w:rPr>
        <w:t>Radiation Safety Training (initial and annual refresher)</w:t>
      </w:r>
    </w:p>
    <w:p w14:paraId="5CB2C5BE" w14:textId="77777777" w:rsidR="00555E72" w:rsidRPr="00555E72" w:rsidRDefault="00555E72" w:rsidP="00555E72">
      <w:pPr>
        <w:numPr>
          <w:ilvl w:val="0"/>
          <w:numId w:val="18"/>
        </w:numPr>
        <w:rPr>
          <w:lang w:val="en-CA"/>
        </w:rPr>
      </w:pPr>
      <w:r w:rsidRPr="00555E72">
        <w:rPr>
          <w:lang w:val="en-CA"/>
        </w:rPr>
        <w:t>TDG Class 7 Transportation Certification</w:t>
      </w:r>
    </w:p>
    <w:p w14:paraId="51590162" w14:textId="77777777" w:rsidR="00555E72" w:rsidRPr="00555E72" w:rsidRDefault="00555E72" w:rsidP="00555E72">
      <w:pPr>
        <w:numPr>
          <w:ilvl w:val="0"/>
          <w:numId w:val="18"/>
        </w:numPr>
        <w:rPr>
          <w:lang w:val="en-CA"/>
        </w:rPr>
      </w:pPr>
      <w:r w:rsidRPr="00555E72">
        <w:rPr>
          <w:lang w:val="en-CA"/>
        </w:rPr>
        <w:t>Site-specific radiation emergency response training</w:t>
      </w:r>
    </w:p>
    <w:p w14:paraId="18635557" w14:textId="77777777" w:rsidR="00555E72" w:rsidRDefault="00555E72" w:rsidP="00555E72">
      <w:pPr>
        <w:rPr>
          <w:b/>
          <w:bCs/>
          <w:lang w:val="en-CA"/>
        </w:rPr>
      </w:pPr>
    </w:p>
    <w:p w14:paraId="601B9750" w14:textId="23E80DBA" w:rsidR="00555E72" w:rsidRPr="00555E72" w:rsidRDefault="00555E72" w:rsidP="00555E72">
      <w:pPr>
        <w:rPr>
          <w:lang w:val="en-CA"/>
        </w:rPr>
      </w:pPr>
      <w:r w:rsidRPr="00555E72">
        <w:rPr>
          <w:b/>
          <w:bCs/>
          <w:lang w:val="en-CA"/>
        </w:rPr>
        <w:t>9. References</w:t>
      </w:r>
    </w:p>
    <w:p w14:paraId="1D88C6CF" w14:textId="77777777" w:rsidR="00555E72" w:rsidRPr="00555E72" w:rsidRDefault="00555E72" w:rsidP="00555E72">
      <w:pPr>
        <w:numPr>
          <w:ilvl w:val="0"/>
          <w:numId w:val="19"/>
        </w:numPr>
        <w:rPr>
          <w:lang w:val="en-CA"/>
        </w:rPr>
      </w:pPr>
      <w:r w:rsidRPr="00555E72">
        <w:rPr>
          <w:lang w:val="en-CA"/>
        </w:rPr>
        <w:t>Queen’s University Radiation Safety Manual</w:t>
      </w:r>
    </w:p>
    <w:p w14:paraId="233FB883" w14:textId="77777777" w:rsidR="00555E72" w:rsidRPr="00555E72" w:rsidRDefault="00555E72" w:rsidP="00555E72">
      <w:pPr>
        <w:numPr>
          <w:ilvl w:val="0"/>
          <w:numId w:val="19"/>
        </w:numPr>
        <w:rPr>
          <w:lang w:val="en-CA"/>
        </w:rPr>
      </w:pPr>
      <w:r w:rsidRPr="00555E72">
        <w:rPr>
          <w:lang w:val="en-CA"/>
        </w:rPr>
        <w:t>CNSC Packaging and Transport of Nuclear Substances Regulations, 2015</w:t>
      </w:r>
    </w:p>
    <w:p w14:paraId="5E962DBD" w14:textId="77777777" w:rsidR="00555E72" w:rsidRPr="00555E72" w:rsidRDefault="00555E72" w:rsidP="00555E72">
      <w:pPr>
        <w:numPr>
          <w:ilvl w:val="0"/>
          <w:numId w:val="19"/>
        </w:numPr>
        <w:rPr>
          <w:lang w:val="en-CA"/>
        </w:rPr>
      </w:pPr>
      <w:r w:rsidRPr="00555E72">
        <w:rPr>
          <w:lang w:val="en-CA"/>
        </w:rPr>
        <w:t>Transportation of Dangerous Goods Act and Regulations (Class 7)</w:t>
      </w:r>
    </w:p>
    <w:p w14:paraId="426595AF" w14:textId="77777777" w:rsidR="00555E72" w:rsidRPr="00555E72" w:rsidRDefault="00555E72" w:rsidP="00555E72">
      <w:pPr>
        <w:numPr>
          <w:ilvl w:val="0"/>
          <w:numId w:val="19"/>
        </w:numPr>
        <w:rPr>
          <w:lang w:val="en-CA"/>
        </w:rPr>
      </w:pPr>
      <w:r w:rsidRPr="00555E72">
        <w:rPr>
          <w:lang w:val="en-CA"/>
        </w:rPr>
        <w:t>IAEA Safety Standards SSG-87 (Section 10)</w:t>
      </w:r>
    </w:p>
    <w:p w14:paraId="4E2C353D" w14:textId="77777777" w:rsidR="00555E72" w:rsidRPr="00555E72" w:rsidRDefault="00555E72" w:rsidP="00555E72">
      <w:pPr>
        <w:numPr>
          <w:ilvl w:val="0"/>
          <w:numId w:val="19"/>
        </w:numPr>
        <w:rPr>
          <w:lang w:val="en-CA"/>
        </w:rPr>
      </w:pPr>
      <w:r w:rsidRPr="00555E72">
        <w:rPr>
          <w:lang w:val="en-CA"/>
        </w:rPr>
        <w:t>IAEA SSR-6 (Rev. 1)</w:t>
      </w:r>
    </w:p>
    <w:p w14:paraId="5A668A40" w14:textId="77777777" w:rsidR="00555E72" w:rsidRDefault="00555E72" w:rsidP="00555E72">
      <w:pPr>
        <w:rPr>
          <w:b/>
          <w:bCs/>
          <w:lang w:val="en-CA"/>
        </w:rPr>
      </w:pPr>
    </w:p>
    <w:p w14:paraId="435882E6" w14:textId="3A61F0FA" w:rsidR="00555E72" w:rsidRPr="00555E72" w:rsidRDefault="00555E72" w:rsidP="00555E72">
      <w:pPr>
        <w:rPr>
          <w:lang w:val="en-CA"/>
        </w:rPr>
      </w:pPr>
      <w:r w:rsidRPr="00555E72">
        <w:rPr>
          <w:b/>
          <w:bCs/>
          <w:lang w:val="en-CA"/>
        </w:rPr>
        <w:t>10. Revision History</w:t>
      </w:r>
    </w:p>
    <w:tbl>
      <w:tblPr>
        <w:tblStyle w:val="TableGrid"/>
        <w:tblW w:w="0" w:type="auto"/>
        <w:tblLook w:val="04A0" w:firstRow="1" w:lastRow="0" w:firstColumn="1" w:lastColumn="0" w:noHBand="0" w:noVBand="1"/>
      </w:tblPr>
      <w:tblGrid>
        <w:gridCol w:w="1840"/>
        <w:gridCol w:w="2670"/>
        <w:gridCol w:w="3735"/>
      </w:tblGrid>
      <w:tr w:rsidR="008B646A" w:rsidRPr="00555E72" w14:paraId="35B0884C" w14:textId="77777777" w:rsidTr="008B646A">
        <w:tc>
          <w:tcPr>
            <w:tcW w:w="1840" w:type="dxa"/>
            <w:hideMark/>
          </w:tcPr>
          <w:p w14:paraId="35A283E7" w14:textId="77777777" w:rsidR="00555E72" w:rsidRPr="00555E72" w:rsidRDefault="00555E72" w:rsidP="007005D9">
            <w:pPr>
              <w:rPr>
                <w:lang w:val="en-CA"/>
              </w:rPr>
            </w:pPr>
            <w:r w:rsidRPr="00555E72">
              <w:rPr>
                <w:lang w:val="en-CA"/>
              </w:rPr>
              <w:t>Date</w:t>
            </w:r>
          </w:p>
        </w:tc>
        <w:tc>
          <w:tcPr>
            <w:tcW w:w="2670" w:type="dxa"/>
            <w:hideMark/>
          </w:tcPr>
          <w:p w14:paraId="36AB004C" w14:textId="77777777" w:rsidR="00555E72" w:rsidRPr="00555E72" w:rsidRDefault="00555E72" w:rsidP="007005D9">
            <w:pPr>
              <w:rPr>
                <w:lang w:val="en-CA"/>
              </w:rPr>
            </w:pPr>
            <w:r w:rsidRPr="00555E72">
              <w:rPr>
                <w:lang w:val="en-CA"/>
              </w:rPr>
              <w:t>Revised by</w:t>
            </w:r>
          </w:p>
        </w:tc>
        <w:tc>
          <w:tcPr>
            <w:tcW w:w="3735" w:type="dxa"/>
            <w:hideMark/>
          </w:tcPr>
          <w:p w14:paraId="5937331B" w14:textId="77777777" w:rsidR="00555E72" w:rsidRPr="00555E72" w:rsidRDefault="00555E72" w:rsidP="007005D9">
            <w:pPr>
              <w:rPr>
                <w:lang w:val="en-CA"/>
              </w:rPr>
            </w:pPr>
            <w:r w:rsidRPr="00555E72">
              <w:rPr>
                <w:lang w:val="en-CA"/>
              </w:rPr>
              <w:t>Changes</w:t>
            </w:r>
          </w:p>
        </w:tc>
      </w:tr>
      <w:tr w:rsidR="008B646A" w:rsidRPr="00555E72" w14:paraId="76AA3B74" w14:textId="77777777" w:rsidTr="008B646A">
        <w:tc>
          <w:tcPr>
            <w:tcW w:w="1840" w:type="dxa"/>
            <w:hideMark/>
          </w:tcPr>
          <w:p w14:paraId="50699E41" w14:textId="1E743535" w:rsidR="00555E72" w:rsidRPr="00555E72" w:rsidRDefault="007005D9" w:rsidP="007005D9">
            <w:pPr>
              <w:rPr>
                <w:lang w:val="en-CA"/>
              </w:rPr>
            </w:pPr>
            <w:r>
              <w:rPr>
                <w:lang w:val="en-CA"/>
              </w:rPr>
              <w:t>05/21/2025</w:t>
            </w:r>
          </w:p>
        </w:tc>
        <w:tc>
          <w:tcPr>
            <w:tcW w:w="2670" w:type="dxa"/>
            <w:hideMark/>
          </w:tcPr>
          <w:p w14:paraId="7EE90ADC" w14:textId="77777777" w:rsidR="00555E72" w:rsidRPr="00555E72" w:rsidRDefault="00555E72" w:rsidP="007005D9">
            <w:pPr>
              <w:rPr>
                <w:lang w:val="en-CA"/>
              </w:rPr>
            </w:pPr>
            <w:r w:rsidRPr="00555E72">
              <w:rPr>
                <w:lang w:val="en-CA"/>
              </w:rPr>
              <w:t>Raico Lamela</w:t>
            </w:r>
          </w:p>
        </w:tc>
        <w:tc>
          <w:tcPr>
            <w:tcW w:w="3735" w:type="dxa"/>
            <w:hideMark/>
          </w:tcPr>
          <w:p w14:paraId="4D52A5AA" w14:textId="5114086C" w:rsidR="00555E72" w:rsidRPr="00555E72" w:rsidRDefault="00555E72" w:rsidP="007005D9">
            <w:pPr>
              <w:rPr>
                <w:lang w:val="en-CA"/>
              </w:rPr>
            </w:pPr>
            <w:r w:rsidRPr="00555E72">
              <w:rPr>
                <w:lang w:val="en-CA"/>
              </w:rPr>
              <w:t xml:space="preserve">Format and </w:t>
            </w:r>
            <w:r w:rsidR="007005D9">
              <w:rPr>
                <w:lang w:val="en-CA"/>
              </w:rPr>
              <w:t>Sections content updated</w:t>
            </w:r>
          </w:p>
        </w:tc>
      </w:tr>
    </w:tbl>
    <w:p w14:paraId="13508713" w14:textId="77777777" w:rsidR="008B646A" w:rsidRDefault="008B646A" w:rsidP="00555E72">
      <w:pPr>
        <w:rPr>
          <w:b/>
          <w:bCs/>
          <w:lang w:val="en-CA"/>
        </w:rPr>
      </w:pPr>
    </w:p>
    <w:p w14:paraId="41EB4623" w14:textId="77777777" w:rsidR="00914FCC" w:rsidRDefault="00914FCC" w:rsidP="00555E72">
      <w:pPr>
        <w:rPr>
          <w:b/>
          <w:bCs/>
          <w:lang w:val="en-CA"/>
        </w:rPr>
      </w:pPr>
    </w:p>
    <w:p w14:paraId="0515C88D" w14:textId="5A2D65C6" w:rsidR="00555E72" w:rsidRPr="00555E72" w:rsidRDefault="00555E72" w:rsidP="00555E72">
      <w:pPr>
        <w:rPr>
          <w:lang w:val="en-CA"/>
        </w:rPr>
      </w:pPr>
      <w:r w:rsidRPr="00555E72">
        <w:rPr>
          <w:b/>
          <w:bCs/>
          <w:lang w:val="en-CA"/>
        </w:rPr>
        <w:lastRenderedPageBreak/>
        <w:t>11. Appendix</w:t>
      </w:r>
    </w:p>
    <w:p w14:paraId="2FBB73B5" w14:textId="77777777" w:rsidR="00555E72" w:rsidRDefault="00555E72" w:rsidP="00555E72">
      <w:pPr>
        <w:numPr>
          <w:ilvl w:val="0"/>
          <w:numId w:val="20"/>
        </w:numPr>
        <w:rPr>
          <w:lang w:val="en-CA"/>
        </w:rPr>
      </w:pPr>
      <w:r w:rsidRPr="00555E72">
        <w:rPr>
          <w:lang w:val="en-CA"/>
        </w:rPr>
        <w:t>Appendix A: Internal Transfer Log Sheet</w:t>
      </w:r>
    </w:p>
    <w:p w14:paraId="6A3C8374" w14:textId="0509B99F" w:rsidR="00914FCC" w:rsidRDefault="00914FCC" w:rsidP="00052781">
      <w:pPr>
        <w:ind w:left="720"/>
        <w:rPr>
          <w:lang w:val="en-CA"/>
        </w:rPr>
      </w:pPr>
      <w:r>
        <w:rPr>
          <w:noProof/>
        </w:rPr>
        <w:drawing>
          <wp:inline distT="0" distB="0" distL="0" distR="0" wp14:anchorId="6122C813" wp14:editId="63248706">
            <wp:extent cx="5018227" cy="5633594"/>
            <wp:effectExtent l="0" t="0" r="0" b="5715"/>
            <wp:docPr id="871031212" name="Picture 1" descr="A document with a number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031212" name="Picture 1" descr="A document with a number of text&#10;&#10;AI-generated content may be incorrect."/>
                    <pic:cNvPicPr/>
                  </pic:nvPicPr>
                  <pic:blipFill>
                    <a:blip r:embed="rId7"/>
                    <a:stretch>
                      <a:fillRect/>
                    </a:stretch>
                  </pic:blipFill>
                  <pic:spPr>
                    <a:xfrm>
                      <a:off x="0" y="0"/>
                      <a:ext cx="5024675" cy="5640832"/>
                    </a:xfrm>
                    <a:prstGeom prst="rect">
                      <a:avLst/>
                    </a:prstGeom>
                  </pic:spPr>
                </pic:pic>
              </a:graphicData>
            </a:graphic>
          </wp:inline>
        </w:drawing>
      </w:r>
    </w:p>
    <w:p w14:paraId="28B2F941" w14:textId="0B5CD849" w:rsidR="00914FCC" w:rsidRDefault="00914FCC">
      <w:pPr>
        <w:rPr>
          <w:lang w:val="en-CA"/>
        </w:rPr>
      </w:pPr>
      <w:r>
        <w:rPr>
          <w:lang w:val="en-CA"/>
        </w:rPr>
        <w:br w:type="page"/>
      </w:r>
    </w:p>
    <w:p w14:paraId="03E2199A" w14:textId="77777777" w:rsidR="00052781" w:rsidRPr="00555E72" w:rsidRDefault="00052781" w:rsidP="00052781">
      <w:pPr>
        <w:ind w:left="720"/>
        <w:rPr>
          <w:lang w:val="en-CA"/>
        </w:rPr>
      </w:pPr>
    </w:p>
    <w:p w14:paraId="4552C038" w14:textId="5372D35B" w:rsidR="00555E72" w:rsidRDefault="00555E72" w:rsidP="00555E72">
      <w:pPr>
        <w:numPr>
          <w:ilvl w:val="0"/>
          <w:numId w:val="20"/>
        </w:numPr>
        <w:rPr>
          <w:lang w:val="en-CA"/>
        </w:rPr>
      </w:pPr>
      <w:r w:rsidRPr="00555E72">
        <w:rPr>
          <w:lang w:val="en-CA"/>
        </w:rPr>
        <w:t xml:space="preserve">Appendix B: </w:t>
      </w:r>
      <w:r w:rsidR="004A767E">
        <w:rPr>
          <w:lang w:val="en-CA"/>
        </w:rPr>
        <w:t xml:space="preserve">Radioisotope </w:t>
      </w:r>
      <w:r w:rsidR="003E471E">
        <w:rPr>
          <w:lang w:val="en-CA"/>
        </w:rPr>
        <w:t xml:space="preserve">Inventory </w:t>
      </w:r>
      <w:r w:rsidR="004A767E">
        <w:rPr>
          <w:lang w:val="en-CA"/>
        </w:rPr>
        <w:t>Form</w:t>
      </w:r>
      <w:r w:rsidR="003E471E">
        <w:rPr>
          <w:lang w:val="en-CA"/>
        </w:rPr>
        <w:t xml:space="preserve"> </w:t>
      </w:r>
    </w:p>
    <w:p w14:paraId="7F136901" w14:textId="67F1625C" w:rsidR="003E471E" w:rsidRDefault="004A767E" w:rsidP="003E471E">
      <w:pPr>
        <w:ind w:left="720"/>
        <w:rPr>
          <w:lang w:val="en-CA"/>
        </w:rPr>
      </w:pPr>
      <w:r>
        <w:rPr>
          <w:noProof/>
        </w:rPr>
        <w:drawing>
          <wp:inline distT="0" distB="0" distL="0" distR="0" wp14:anchorId="3257607A" wp14:editId="79F20B99">
            <wp:extent cx="6286500" cy="5721350"/>
            <wp:effectExtent l="0" t="0" r="0" b="0"/>
            <wp:docPr id="609505876" name="Picture 1" descr="A receipt form with numbers and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505876" name="Picture 1" descr="A receipt form with numbers and a number&#10;&#10;AI-generated content may be incorrect."/>
                    <pic:cNvPicPr/>
                  </pic:nvPicPr>
                  <pic:blipFill>
                    <a:blip r:embed="rId8"/>
                    <a:stretch>
                      <a:fillRect/>
                    </a:stretch>
                  </pic:blipFill>
                  <pic:spPr>
                    <a:xfrm>
                      <a:off x="0" y="0"/>
                      <a:ext cx="6286500" cy="5721350"/>
                    </a:xfrm>
                    <a:prstGeom prst="rect">
                      <a:avLst/>
                    </a:prstGeom>
                  </pic:spPr>
                </pic:pic>
              </a:graphicData>
            </a:graphic>
          </wp:inline>
        </w:drawing>
      </w:r>
    </w:p>
    <w:p w14:paraId="4782C176" w14:textId="454F6DB9" w:rsidR="007E3FED" w:rsidRPr="00555E72" w:rsidRDefault="007E3FED" w:rsidP="00555E72"/>
    <w:sectPr w:rsidR="007E3FED" w:rsidRPr="00555E72">
      <w:headerReference w:type="default" r:id="rId9"/>
      <w:footerReference w:type="default" r:id="rId10"/>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52E24" w14:textId="77777777" w:rsidR="000120BA" w:rsidRDefault="000120BA">
      <w:r>
        <w:separator/>
      </w:r>
    </w:p>
  </w:endnote>
  <w:endnote w:type="continuationSeparator" w:id="0">
    <w:p w14:paraId="5B3A8486" w14:textId="77777777" w:rsidR="000120BA" w:rsidRDefault="00012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D573" w14:textId="40D1AC5B" w:rsidR="00EF2061" w:rsidRDefault="00666FBF">
    <w:pPr>
      <w:pStyle w:val="Footer"/>
      <w:ind w:firstLine="1440"/>
      <w:rPr>
        <w:b/>
        <w:sz w:val="16"/>
      </w:rPr>
    </w:pPr>
    <w:r>
      <w:rPr>
        <w:noProof/>
        <w:sz w:val="20"/>
      </w:rPr>
      <mc:AlternateContent>
        <mc:Choice Requires="wps">
          <w:drawing>
            <wp:anchor distT="0" distB="0" distL="114300" distR="114300" simplePos="0" relativeHeight="251658240" behindDoc="0" locked="0" layoutInCell="1" allowOverlap="1" wp14:anchorId="17F802FE" wp14:editId="44B51774">
              <wp:simplePos x="0" y="0"/>
              <wp:positionH relativeFrom="column">
                <wp:posOffset>0</wp:posOffset>
              </wp:positionH>
              <wp:positionV relativeFrom="paragraph">
                <wp:posOffset>-50800</wp:posOffset>
              </wp:positionV>
              <wp:extent cx="6286500" cy="0"/>
              <wp:effectExtent l="19050" t="15875" r="19050" b="12700"/>
              <wp:wrapTight wrapText="left">
                <wp:wrapPolygon edited="0">
                  <wp:start x="-68" y="-2147483648"/>
                  <wp:lineTo x="-68" y="-2147483648"/>
                  <wp:lineTo x="21635" y="-2147483648"/>
                  <wp:lineTo x="21635" y="-2147483648"/>
                  <wp:lineTo x="-68" y="-2147483648"/>
                </wp:wrapPolygon>
              </wp:wrapTight>
              <wp:docPr id="296279175"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C3B51" id="Line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" strokeweight="2pt">
              <w10:wrap type="tight" side="left"/>
            </v:line>
          </w:pict>
        </mc:Fallback>
      </mc:AlternateContent>
    </w:r>
    <w:r w:rsidR="00EF2061">
      <w:rPr>
        <w:b/>
        <w:sz w:val="16"/>
      </w:rPr>
      <w:tab/>
    </w:r>
    <w:r w:rsidR="00EF2061">
      <w:rPr>
        <w:b/>
        <w:sz w:val="16"/>
      </w:rPr>
      <w:tab/>
      <w:t xml:space="preserve">                           Prepared by: The Department of Environmental Health &amp; Safety</w:t>
    </w:r>
  </w:p>
  <w:p w14:paraId="48535220" w14:textId="77777777" w:rsidR="00EF2061" w:rsidRDefault="00EF2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4F0F0" w14:textId="77777777" w:rsidR="000120BA" w:rsidRDefault="000120BA">
      <w:r>
        <w:separator/>
      </w:r>
    </w:p>
  </w:footnote>
  <w:footnote w:type="continuationSeparator" w:id="0">
    <w:p w14:paraId="29018097" w14:textId="77777777" w:rsidR="000120BA" w:rsidRDefault="00012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112D" w14:textId="1EEB7EA1" w:rsidR="00EF2061" w:rsidRDefault="00666FBF" w:rsidP="00666FBF">
    <w:pPr>
      <w:pStyle w:val="Header"/>
      <w:tabs>
        <w:tab w:val="clear" w:pos="4320"/>
        <w:tab w:val="center" w:pos="4500"/>
      </w:tabs>
      <w:ind w:firstLine="1440"/>
      <w:rPr>
        <w:b/>
      </w:rPr>
    </w:pPr>
    <w:r>
      <w:rPr>
        <w:noProof/>
        <w:sz w:val="20"/>
      </w:rPr>
      <w:drawing>
        <wp:anchor distT="0" distB="0" distL="114300" distR="114300" simplePos="0" relativeHeight="251657216" behindDoc="1" locked="0" layoutInCell="1" allowOverlap="1" wp14:anchorId="5A8769F0" wp14:editId="2AEE4F0E">
          <wp:simplePos x="0" y="0"/>
          <wp:positionH relativeFrom="column">
            <wp:posOffset>-622300</wp:posOffset>
          </wp:positionH>
          <wp:positionV relativeFrom="paragraph">
            <wp:posOffset>-215900</wp:posOffset>
          </wp:positionV>
          <wp:extent cx="1366520" cy="943610"/>
          <wp:effectExtent l="0" t="0" r="5080" b="8890"/>
          <wp:wrapNone/>
          <wp:docPr id="1" name="Picture 1" descr="A logo of a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univers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6520" cy="943610"/>
                  </a:xfrm>
                  <a:prstGeom prst="rect">
                    <a:avLst/>
                  </a:prstGeom>
                  <a:noFill/>
                  <a:ln>
                    <a:noFill/>
                  </a:ln>
                </pic:spPr>
              </pic:pic>
            </a:graphicData>
          </a:graphic>
          <wp14:sizeRelH relativeFrom="page">
            <wp14:pctWidth>0</wp14:pctWidth>
          </wp14:sizeRelH>
          <wp14:sizeRelV relativeFrom="page">
            <wp14:pctHeight>0</wp14:pctHeight>
          </wp14:sizeRelV>
        </wp:anchor>
      </w:drawing>
    </w:r>
    <w:r w:rsidR="00EF2061">
      <w:rPr>
        <w:b/>
      </w:rPr>
      <w:tab/>
    </w:r>
    <w:r w:rsidR="00EF2061">
      <w:rPr>
        <w:b/>
      </w:rPr>
      <w:tab/>
      <w:t>Queen's University Environmental Health &amp; Safety</w:t>
    </w:r>
  </w:p>
  <w:p w14:paraId="3CE5532F" w14:textId="77777777" w:rsidR="00666FBF" w:rsidRDefault="00666FBF" w:rsidP="00666FBF">
    <w:pPr>
      <w:pStyle w:val="Header"/>
      <w:tabs>
        <w:tab w:val="clear" w:pos="4320"/>
        <w:tab w:val="center" w:pos="4500"/>
      </w:tabs>
      <w:ind w:firstLine="1440"/>
    </w:pPr>
  </w:p>
  <w:tbl>
    <w:tblPr>
      <w:tblW w:w="7380" w:type="dxa"/>
      <w:tblInd w:w="2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1530"/>
      <w:gridCol w:w="3690"/>
    </w:tblGrid>
    <w:tr w:rsidR="00EF2061" w:rsidRPr="00666FBF" w14:paraId="455FC790" w14:textId="77777777" w:rsidTr="00666FBF">
      <w:trPr>
        <w:trHeight w:val="681"/>
      </w:trPr>
      <w:tc>
        <w:tcPr>
          <w:tcW w:w="2160" w:type="dxa"/>
          <w:tcBorders>
            <w:top w:val="single" w:sz="12" w:space="0" w:color="auto"/>
            <w:left w:val="nil"/>
            <w:bottom w:val="single" w:sz="12" w:space="0" w:color="auto"/>
            <w:right w:val="single" w:sz="12" w:space="0" w:color="auto"/>
          </w:tcBorders>
        </w:tcPr>
        <w:p w14:paraId="0533E316" w14:textId="77777777" w:rsidR="00EF2061" w:rsidRPr="00666FBF" w:rsidRDefault="00EF2061">
          <w:pPr>
            <w:pStyle w:val="Header"/>
            <w:rPr>
              <w:b/>
            </w:rPr>
          </w:pPr>
          <w:r w:rsidRPr="00666FBF">
            <w:rPr>
              <w:b/>
            </w:rPr>
            <w:t>Date Issued:</w:t>
          </w:r>
        </w:p>
        <w:p w14:paraId="329B8082" w14:textId="27814D2C" w:rsidR="00EF2061" w:rsidRPr="00666FBF" w:rsidRDefault="00D12FEE">
          <w:pPr>
            <w:pStyle w:val="Header"/>
            <w:jc w:val="center"/>
          </w:pPr>
          <w:r>
            <w:t>05/21/2025</w:t>
          </w:r>
        </w:p>
      </w:tc>
      <w:tc>
        <w:tcPr>
          <w:tcW w:w="1530" w:type="dxa"/>
          <w:tcBorders>
            <w:top w:val="single" w:sz="12" w:space="0" w:color="auto"/>
            <w:left w:val="single" w:sz="12" w:space="0" w:color="auto"/>
            <w:bottom w:val="single" w:sz="12" w:space="0" w:color="auto"/>
            <w:right w:val="single" w:sz="12" w:space="0" w:color="auto"/>
          </w:tcBorders>
        </w:tcPr>
        <w:p w14:paraId="129DD9F0" w14:textId="77777777" w:rsidR="00EF2061" w:rsidRPr="00666FBF" w:rsidRDefault="00EF2061">
          <w:pPr>
            <w:pStyle w:val="Header"/>
            <w:rPr>
              <w:b/>
            </w:rPr>
          </w:pPr>
          <w:r w:rsidRPr="00666FBF">
            <w:rPr>
              <w:b/>
            </w:rPr>
            <w:t>Page No.:</w:t>
          </w:r>
        </w:p>
        <w:p w14:paraId="4CBE9671" w14:textId="77777777" w:rsidR="00EF2061" w:rsidRPr="00666FBF" w:rsidRDefault="00EF2061">
          <w:pPr>
            <w:pStyle w:val="Header"/>
            <w:jc w:val="center"/>
            <w:rPr>
              <w:b/>
              <w:bCs/>
            </w:rPr>
          </w:pPr>
          <w:r w:rsidRPr="00666FBF">
            <w:rPr>
              <w:rStyle w:val="PageNumber"/>
              <w:b/>
              <w:bCs/>
            </w:rPr>
            <w:fldChar w:fldCharType="begin"/>
          </w:r>
          <w:r w:rsidRPr="00666FBF">
            <w:rPr>
              <w:rStyle w:val="PageNumber"/>
              <w:b/>
              <w:bCs/>
            </w:rPr>
            <w:instrText xml:space="preserve"> PAGE </w:instrText>
          </w:r>
          <w:r w:rsidRPr="00666FBF">
            <w:rPr>
              <w:rStyle w:val="PageNumber"/>
              <w:b/>
              <w:bCs/>
            </w:rPr>
            <w:fldChar w:fldCharType="separate"/>
          </w:r>
          <w:r w:rsidRPr="00666FBF">
            <w:rPr>
              <w:rStyle w:val="PageNumber"/>
              <w:b/>
              <w:bCs/>
              <w:noProof/>
            </w:rPr>
            <w:t>1</w:t>
          </w:r>
          <w:r w:rsidRPr="00666FBF">
            <w:rPr>
              <w:rStyle w:val="PageNumber"/>
              <w:b/>
              <w:bCs/>
            </w:rPr>
            <w:fldChar w:fldCharType="end"/>
          </w:r>
        </w:p>
      </w:tc>
      <w:tc>
        <w:tcPr>
          <w:tcW w:w="3690" w:type="dxa"/>
          <w:tcBorders>
            <w:top w:val="single" w:sz="12" w:space="0" w:color="auto"/>
            <w:left w:val="single" w:sz="12" w:space="0" w:color="auto"/>
            <w:bottom w:val="single" w:sz="12" w:space="0" w:color="auto"/>
            <w:right w:val="nil"/>
          </w:tcBorders>
        </w:tcPr>
        <w:p w14:paraId="469E471D" w14:textId="77777777" w:rsidR="00EF2061" w:rsidRPr="00666FBF" w:rsidRDefault="00EF2061">
          <w:pPr>
            <w:pStyle w:val="Header"/>
            <w:rPr>
              <w:b/>
            </w:rPr>
          </w:pPr>
          <w:r w:rsidRPr="00666FBF">
            <w:rPr>
              <w:b/>
            </w:rPr>
            <w:t>Document No.:</w:t>
          </w:r>
        </w:p>
        <w:p w14:paraId="411B0A1D" w14:textId="2915B3EB" w:rsidR="00EF2061" w:rsidRPr="00666FBF" w:rsidRDefault="00626A1F">
          <w:pPr>
            <w:pStyle w:val="Header"/>
            <w:tabs>
              <w:tab w:val="clear" w:pos="4320"/>
              <w:tab w:val="clear" w:pos="8640"/>
              <w:tab w:val="left" w:pos="2610"/>
              <w:tab w:val="left" w:pos="4770"/>
              <w:tab w:val="left" w:pos="6300"/>
            </w:tabs>
            <w:jc w:val="center"/>
          </w:pPr>
          <w:r>
            <w:t>SOP-R</w:t>
          </w:r>
          <w:r w:rsidR="009C12B2">
            <w:t>adiation</w:t>
          </w:r>
          <w:r>
            <w:t>-</w:t>
          </w:r>
          <w:r w:rsidR="00D12FEE">
            <w:t>07</w:t>
          </w:r>
        </w:p>
      </w:tc>
    </w:tr>
    <w:tr w:rsidR="00EF2061" w:rsidRPr="00666FBF" w14:paraId="53FB60E1" w14:textId="77777777" w:rsidTr="00666FBF">
      <w:trPr>
        <w:trHeight w:val="861"/>
      </w:trPr>
      <w:tc>
        <w:tcPr>
          <w:tcW w:w="2160" w:type="dxa"/>
          <w:tcBorders>
            <w:top w:val="single" w:sz="12" w:space="0" w:color="auto"/>
            <w:left w:val="nil"/>
            <w:bottom w:val="single" w:sz="12" w:space="0" w:color="auto"/>
            <w:right w:val="single" w:sz="12" w:space="0" w:color="auto"/>
          </w:tcBorders>
        </w:tcPr>
        <w:p w14:paraId="0677AEAA" w14:textId="77777777" w:rsidR="00EF2061" w:rsidRPr="00666FBF" w:rsidRDefault="00EF2061">
          <w:pPr>
            <w:pStyle w:val="Header"/>
            <w:rPr>
              <w:b/>
              <w:bCs/>
            </w:rPr>
          </w:pPr>
          <w:r w:rsidRPr="00666FBF">
            <w:rPr>
              <w:b/>
              <w:bCs/>
            </w:rPr>
            <w:t>Revision:</w:t>
          </w:r>
        </w:p>
        <w:p w14:paraId="387470F2" w14:textId="77777777" w:rsidR="00EF2061" w:rsidRPr="00666FBF" w:rsidRDefault="00EF2061">
          <w:pPr>
            <w:pStyle w:val="Header"/>
            <w:jc w:val="center"/>
          </w:pPr>
          <w:r w:rsidRPr="00666FBF">
            <w:rPr>
              <w:b/>
              <w:bCs/>
            </w:rPr>
            <w:t>1.0</w:t>
          </w:r>
        </w:p>
      </w:tc>
      <w:tc>
        <w:tcPr>
          <w:tcW w:w="5220" w:type="dxa"/>
          <w:gridSpan w:val="2"/>
          <w:tcBorders>
            <w:top w:val="single" w:sz="12" w:space="0" w:color="auto"/>
            <w:left w:val="single" w:sz="12" w:space="0" w:color="auto"/>
            <w:bottom w:val="single" w:sz="12" w:space="0" w:color="auto"/>
            <w:right w:val="nil"/>
          </w:tcBorders>
        </w:tcPr>
        <w:p w14:paraId="661DCECD" w14:textId="77777777" w:rsidR="00EF2061" w:rsidRPr="00666FBF" w:rsidRDefault="00EF2061">
          <w:pPr>
            <w:pStyle w:val="Header"/>
          </w:pPr>
          <w:r w:rsidRPr="00666FBF">
            <w:rPr>
              <w:b/>
            </w:rPr>
            <w:t>Subject:</w:t>
          </w:r>
        </w:p>
        <w:p w14:paraId="632D5D6D" w14:textId="77777777" w:rsidR="00555E72" w:rsidRPr="00555E72" w:rsidRDefault="00555E72" w:rsidP="00626A1F">
          <w:pPr>
            <w:rPr>
              <w:lang w:val="en-CA"/>
            </w:rPr>
          </w:pPr>
          <w:r w:rsidRPr="00555E72">
            <w:rPr>
              <w:lang w:val="en-CA"/>
            </w:rPr>
            <w:t>Standard Operating Procedure (SOP)</w:t>
          </w:r>
          <w:r w:rsidRPr="00555E72">
            <w:rPr>
              <w:lang w:val="en-CA"/>
            </w:rPr>
            <w:br/>
            <w:t>Movement and Transportation of Radioactive Materials/Substances</w:t>
          </w:r>
        </w:p>
        <w:p w14:paraId="209374FA" w14:textId="049F0271" w:rsidR="00EF2061" w:rsidRPr="00666FBF" w:rsidRDefault="00EF2061">
          <w:pPr>
            <w:pStyle w:val="Header"/>
            <w:jc w:val="center"/>
          </w:pPr>
        </w:p>
      </w:tc>
    </w:tr>
  </w:tbl>
  <w:p w14:paraId="6DC06B35" w14:textId="77777777" w:rsidR="00EF2061" w:rsidRDefault="00EF2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DF0"/>
    <w:multiLevelType w:val="multilevel"/>
    <w:tmpl w:val="D7F6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B52C4"/>
    <w:multiLevelType w:val="multilevel"/>
    <w:tmpl w:val="55C49E9A"/>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2160"/>
        </w:tabs>
        <w:ind w:left="2160" w:hanging="1080"/>
      </w:pPr>
      <w:rPr>
        <w:rFonts w:hint="default"/>
      </w:rPr>
    </w:lvl>
    <w:lvl w:ilvl="2">
      <w:start w:val="1"/>
      <w:numFmt w:val="decimal"/>
      <w:isLgl/>
      <w:lvlText w:val="%1.%2.%3"/>
      <w:lvlJc w:val="left"/>
      <w:pPr>
        <w:tabs>
          <w:tab w:val="num" w:pos="2880"/>
        </w:tabs>
        <w:ind w:left="2880" w:hanging="108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040"/>
        </w:tabs>
        <w:ind w:left="504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840"/>
        </w:tabs>
        <w:ind w:left="6840" w:hanging="144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F530931"/>
    <w:multiLevelType w:val="multilevel"/>
    <w:tmpl w:val="82BCF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2214E"/>
    <w:multiLevelType w:val="multilevel"/>
    <w:tmpl w:val="ABBE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A30EA"/>
    <w:multiLevelType w:val="hybridMultilevel"/>
    <w:tmpl w:val="6C6ABE8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A9E6125"/>
    <w:multiLevelType w:val="multilevel"/>
    <w:tmpl w:val="3B52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857C13"/>
    <w:multiLevelType w:val="multilevel"/>
    <w:tmpl w:val="7724F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911582"/>
    <w:multiLevelType w:val="hybridMultilevel"/>
    <w:tmpl w:val="C01C7A90"/>
    <w:lvl w:ilvl="0" w:tplc="10090001">
      <w:start w:val="1"/>
      <w:numFmt w:val="bullet"/>
      <w:lvlText w:val=""/>
      <w:lvlJc w:val="left"/>
      <w:pPr>
        <w:ind w:left="1350" w:hanging="360"/>
      </w:pPr>
      <w:rPr>
        <w:rFonts w:ascii="Symbol" w:hAnsi="Symbol" w:hint="default"/>
      </w:rPr>
    </w:lvl>
    <w:lvl w:ilvl="1" w:tplc="10090003" w:tentative="1">
      <w:start w:val="1"/>
      <w:numFmt w:val="bullet"/>
      <w:lvlText w:val="o"/>
      <w:lvlJc w:val="left"/>
      <w:pPr>
        <w:ind w:left="2070" w:hanging="360"/>
      </w:pPr>
      <w:rPr>
        <w:rFonts w:ascii="Courier New" w:hAnsi="Courier New" w:cs="Courier New" w:hint="default"/>
      </w:rPr>
    </w:lvl>
    <w:lvl w:ilvl="2" w:tplc="10090005" w:tentative="1">
      <w:start w:val="1"/>
      <w:numFmt w:val="bullet"/>
      <w:lvlText w:val=""/>
      <w:lvlJc w:val="left"/>
      <w:pPr>
        <w:ind w:left="2790" w:hanging="360"/>
      </w:pPr>
      <w:rPr>
        <w:rFonts w:ascii="Wingdings" w:hAnsi="Wingdings" w:hint="default"/>
      </w:rPr>
    </w:lvl>
    <w:lvl w:ilvl="3" w:tplc="10090001" w:tentative="1">
      <w:start w:val="1"/>
      <w:numFmt w:val="bullet"/>
      <w:lvlText w:val=""/>
      <w:lvlJc w:val="left"/>
      <w:pPr>
        <w:ind w:left="3510" w:hanging="360"/>
      </w:pPr>
      <w:rPr>
        <w:rFonts w:ascii="Symbol" w:hAnsi="Symbol" w:hint="default"/>
      </w:rPr>
    </w:lvl>
    <w:lvl w:ilvl="4" w:tplc="10090003" w:tentative="1">
      <w:start w:val="1"/>
      <w:numFmt w:val="bullet"/>
      <w:lvlText w:val="o"/>
      <w:lvlJc w:val="left"/>
      <w:pPr>
        <w:ind w:left="4230" w:hanging="360"/>
      </w:pPr>
      <w:rPr>
        <w:rFonts w:ascii="Courier New" w:hAnsi="Courier New" w:cs="Courier New" w:hint="default"/>
      </w:rPr>
    </w:lvl>
    <w:lvl w:ilvl="5" w:tplc="10090005" w:tentative="1">
      <w:start w:val="1"/>
      <w:numFmt w:val="bullet"/>
      <w:lvlText w:val=""/>
      <w:lvlJc w:val="left"/>
      <w:pPr>
        <w:ind w:left="4950" w:hanging="360"/>
      </w:pPr>
      <w:rPr>
        <w:rFonts w:ascii="Wingdings" w:hAnsi="Wingdings" w:hint="default"/>
      </w:rPr>
    </w:lvl>
    <w:lvl w:ilvl="6" w:tplc="10090001" w:tentative="1">
      <w:start w:val="1"/>
      <w:numFmt w:val="bullet"/>
      <w:lvlText w:val=""/>
      <w:lvlJc w:val="left"/>
      <w:pPr>
        <w:ind w:left="5670" w:hanging="360"/>
      </w:pPr>
      <w:rPr>
        <w:rFonts w:ascii="Symbol" w:hAnsi="Symbol" w:hint="default"/>
      </w:rPr>
    </w:lvl>
    <w:lvl w:ilvl="7" w:tplc="10090003" w:tentative="1">
      <w:start w:val="1"/>
      <w:numFmt w:val="bullet"/>
      <w:lvlText w:val="o"/>
      <w:lvlJc w:val="left"/>
      <w:pPr>
        <w:ind w:left="6390" w:hanging="360"/>
      </w:pPr>
      <w:rPr>
        <w:rFonts w:ascii="Courier New" w:hAnsi="Courier New" w:cs="Courier New" w:hint="default"/>
      </w:rPr>
    </w:lvl>
    <w:lvl w:ilvl="8" w:tplc="10090005" w:tentative="1">
      <w:start w:val="1"/>
      <w:numFmt w:val="bullet"/>
      <w:lvlText w:val=""/>
      <w:lvlJc w:val="left"/>
      <w:pPr>
        <w:ind w:left="7110" w:hanging="360"/>
      </w:pPr>
      <w:rPr>
        <w:rFonts w:ascii="Wingdings" w:hAnsi="Wingdings" w:hint="default"/>
      </w:rPr>
    </w:lvl>
  </w:abstractNum>
  <w:abstractNum w:abstractNumId="8" w15:restartNumberingAfterBreak="0">
    <w:nsid w:val="264F6D70"/>
    <w:multiLevelType w:val="multilevel"/>
    <w:tmpl w:val="5CF4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D1D70"/>
    <w:multiLevelType w:val="multilevel"/>
    <w:tmpl w:val="10AC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342C07"/>
    <w:multiLevelType w:val="multilevel"/>
    <w:tmpl w:val="8FA8B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0D006D"/>
    <w:multiLevelType w:val="multilevel"/>
    <w:tmpl w:val="F802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F635CB"/>
    <w:multiLevelType w:val="hybridMultilevel"/>
    <w:tmpl w:val="A0C4F2EE"/>
    <w:lvl w:ilvl="0" w:tplc="10090001">
      <w:start w:val="1"/>
      <w:numFmt w:val="bullet"/>
      <w:lvlText w:val=""/>
      <w:lvlJc w:val="left"/>
      <w:pPr>
        <w:ind w:left="-216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720" w:hanging="360"/>
      </w:pPr>
      <w:rPr>
        <w:rFonts w:ascii="Wingdings" w:hAnsi="Wingdings" w:hint="default"/>
      </w:rPr>
    </w:lvl>
    <w:lvl w:ilvl="3" w:tplc="10090001">
      <w:start w:val="1"/>
      <w:numFmt w:val="bullet"/>
      <w:lvlText w:val=""/>
      <w:lvlJc w:val="left"/>
      <w:pPr>
        <w:ind w:left="0" w:hanging="360"/>
      </w:pPr>
      <w:rPr>
        <w:rFonts w:ascii="Symbol" w:hAnsi="Symbol" w:hint="default"/>
      </w:rPr>
    </w:lvl>
    <w:lvl w:ilvl="4" w:tplc="10090003" w:tentative="1">
      <w:start w:val="1"/>
      <w:numFmt w:val="bullet"/>
      <w:lvlText w:val="o"/>
      <w:lvlJc w:val="left"/>
      <w:pPr>
        <w:ind w:left="720" w:hanging="360"/>
      </w:pPr>
      <w:rPr>
        <w:rFonts w:ascii="Courier New" w:hAnsi="Courier New" w:cs="Courier New" w:hint="default"/>
      </w:rPr>
    </w:lvl>
    <w:lvl w:ilvl="5" w:tplc="10090005" w:tentative="1">
      <w:start w:val="1"/>
      <w:numFmt w:val="bullet"/>
      <w:lvlText w:val=""/>
      <w:lvlJc w:val="left"/>
      <w:pPr>
        <w:ind w:left="1440" w:hanging="360"/>
      </w:pPr>
      <w:rPr>
        <w:rFonts w:ascii="Wingdings" w:hAnsi="Wingdings" w:hint="default"/>
      </w:rPr>
    </w:lvl>
    <w:lvl w:ilvl="6" w:tplc="10090001" w:tentative="1">
      <w:start w:val="1"/>
      <w:numFmt w:val="bullet"/>
      <w:lvlText w:val=""/>
      <w:lvlJc w:val="left"/>
      <w:pPr>
        <w:ind w:left="2160" w:hanging="360"/>
      </w:pPr>
      <w:rPr>
        <w:rFonts w:ascii="Symbol" w:hAnsi="Symbol" w:hint="default"/>
      </w:rPr>
    </w:lvl>
    <w:lvl w:ilvl="7" w:tplc="10090003" w:tentative="1">
      <w:start w:val="1"/>
      <w:numFmt w:val="bullet"/>
      <w:lvlText w:val="o"/>
      <w:lvlJc w:val="left"/>
      <w:pPr>
        <w:ind w:left="2880" w:hanging="360"/>
      </w:pPr>
      <w:rPr>
        <w:rFonts w:ascii="Courier New" w:hAnsi="Courier New" w:cs="Courier New" w:hint="default"/>
      </w:rPr>
    </w:lvl>
    <w:lvl w:ilvl="8" w:tplc="10090005" w:tentative="1">
      <w:start w:val="1"/>
      <w:numFmt w:val="bullet"/>
      <w:lvlText w:val=""/>
      <w:lvlJc w:val="left"/>
      <w:pPr>
        <w:ind w:left="3600" w:hanging="360"/>
      </w:pPr>
      <w:rPr>
        <w:rFonts w:ascii="Wingdings" w:hAnsi="Wingdings" w:hint="default"/>
      </w:rPr>
    </w:lvl>
  </w:abstractNum>
  <w:abstractNum w:abstractNumId="13" w15:restartNumberingAfterBreak="0">
    <w:nsid w:val="44414467"/>
    <w:multiLevelType w:val="multilevel"/>
    <w:tmpl w:val="ED16F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1F1956"/>
    <w:multiLevelType w:val="hybridMultilevel"/>
    <w:tmpl w:val="5A1AF3C2"/>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4B4D06E5"/>
    <w:multiLevelType w:val="multilevel"/>
    <w:tmpl w:val="74D8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B615DC"/>
    <w:multiLevelType w:val="multilevel"/>
    <w:tmpl w:val="55C49E9A"/>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2160"/>
        </w:tabs>
        <w:ind w:left="2160" w:hanging="1080"/>
      </w:pPr>
      <w:rPr>
        <w:rFonts w:hint="default"/>
      </w:rPr>
    </w:lvl>
    <w:lvl w:ilvl="2">
      <w:start w:val="1"/>
      <w:numFmt w:val="decimal"/>
      <w:isLgl/>
      <w:lvlText w:val="%1.%2.%3"/>
      <w:lvlJc w:val="left"/>
      <w:pPr>
        <w:tabs>
          <w:tab w:val="num" w:pos="2880"/>
        </w:tabs>
        <w:ind w:left="2880" w:hanging="108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040"/>
        </w:tabs>
        <w:ind w:left="504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840"/>
        </w:tabs>
        <w:ind w:left="6840" w:hanging="144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17" w15:restartNumberingAfterBreak="0">
    <w:nsid w:val="543E3C26"/>
    <w:multiLevelType w:val="multilevel"/>
    <w:tmpl w:val="35A69348"/>
    <w:lvl w:ilvl="0">
      <w:start w:val="1"/>
      <w:numFmt w:val="decimal"/>
      <w:lvlText w:val="%1."/>
      <w:lvlJc w:val="left"/>
      <w:pPr>
        <w:ind w:left="629" w:hanging="342"/>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1.%2"/>
      <w:lvlJc w:val="left"/>
      <w:pPr>
        <w:ind w:left="629" w:hanging="342"/>
      </w:pPr>
      <w:rPr>
        <w:rFonts w:hint="default"/>
        <w:spacing w:val="-1"/>
        <w:w w:val="100"/>
        <w:lang w:val="en-US" w:eastAsia="en-US" w:bidi="ar-SA"/>
      </w:rPr>
    </w:lvl>
    <w:lvl w:ilvl="2">
      <w:numFmt w:val="bullet"/>
      <w:lvlText w:val="•"/>
      <w:lvlJc w:val="left"/>
      <w:pPr>
        <w:ind w:left="900" w:hanging="342"/>
      </w:pPr>
      <w:rPr>
        <w:rFonts w:ascii="Arial Narrow" w:eastAsia="Arial Narrow" w:hAnsi="Arial Narrow" w:cs="Arial Narrow" w:hint="default"/>
        <w:b w:val="0"/>
        <w:bCs w:val="0"/>
        <w:i w:val="0"/>
        <w:iCs w:val="0"/>
        <w:spacing w:val="0"/>
        <w:w w:val="208"/>
        <w:sz w:val="24"/>
        <w:szCs w:val="24"/>
        <w:lang w:val="en-US" w:eastAsia="en-US" w:bidi="ar-SA"/>
      </w:rPr>
    </w:lvl>
    <w:lvl w:ilvl="3">
      <w:numFmt w:val="bullet"/>
      <w:lvlText w:val="•"/>
      <w:lvlJc w:val="left"/>
      <w:pPr>
        <w:ind w:left="2205" w:hanging="342"/>
      </w:pPr>
      <w:rPr>
        <w:rFonts w:hint="default"/>
        <w:lang w:val="en-US" w:eastAsia="en-US" w:bidi="ar-SA"/>
      </w:rPr>
    </w:lvl>
    <w:lvl w:ilvl="4">
      <w:numFmt w:val="bullet"/>
      <w:lvlText w:val="•"/>
      <w:lvlJc w:val="left"/>
      <w:pPr>
        <w:ind w:left="3410" w:hanging="342"/>
      </w:pPr>
      <w:rPr>
        <w:rFonts w:hint="default"/>
        <w:lang w:val="en-US" w:eastAsia="en-US" w:bidi="ar-SA"/>
      </w:rPr>
    </w:lvl>
    <w:lvl w:ilvl="5">
      <w:numFmt w:val="bullet"/>
      <w:lvlText w:val="•"/>
      <w:lvlJc w:val="left"/>
      <w:pPr>
        <w:ind w:left="4615" w:hanging="342"/>
      </w:pPr>
      <w:rPr>
        <w:rFonts w:hint="default"/>
        <w:lang w:val="en-US" w:eastAsia="en-US" w:bidi="ar-SA"/>
      </w:rPr>
    </w:lvl>
    <w:lvl w:ilvl="6">
      <w:numFmt w:val="bullet"/>
      <w:lvlText w:val="•"/>
      <w:lvlJc w:val="left"/>
      <w:pPr>
        <w:ind w:left="5820" w:hanging="342"/>
      </w:pPr>
      <w:rPr>
        <w:rFonts w:hint="default"/>
        <w:lang w:val="en-US" w:eastAsia="en-US" w:bidi="ar-SA"/>
      </w:rPr>
    </w:lvl>
    <w:lvl w:ilvl="7">
      <w:numFmt w:val="bullet"/>
      <w:lvlText w:val="•"/>
      <w:lvlJc w:val="left"/>
      <w:pPr>
        <w:ind w:left="7025" w:hanging="342"/>
      </w:pPr>
      <w:rPr>
        <w:rFonts w:hint="default"/>
        <w:lang w:val="en-US" w:eastAsia="en-US" w:bidi="ar-SA"/>
      </w:rPr>
    </w:lvl>
    <w:lvl w:ilvl="8">
      <w:numFmt w:val="bullet"/>
      <w:lvlText w:val="•"/>
      <w:lvlJc w:val="left"/>
      <w:pPr>
        <w:ind w:left="8230" w:hanging="342"/>
      </w:pPr>
      <w:rPr>
        <w:rFonts w:hint="default"/>
        <w:lang w:val="en-US" w:eastAsia="en-US" w:bidi="ar-SA"/>
      </w:rPr>
    </w:lvl>
  </w:abstractNum>
  <w:abstractNum w:abstractNumId="18" w15:restartNumberingAfterBreak="0">
    <w:nsid w:val="544E6BEC"/>
    <w:multiLevelType w:val="multilevel"/>
    <w:tmpl w:val="2A90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0427E8"/>
    <w:multiLevelType w:val="multilevel"/>
    <w:tmpl w:val="52A0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660FDC"/>
    <w:multiLevelType w:val="multilevel"/>
    <w:tmpl w:val="29CC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DB6070"/>
    <w:multiLevelType w:val="multilevel"/>
    <w:tmpl w:val="D794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A907D6"/>
    <w:multiLevelType w:val="multilevel"/>
    <w:tmpl w:val="7B32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5E15E1"/>
    <w:multiLevelType w:val="multilevel"/>
    <w:tmpl w:val="18F4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30541">
    <w:abstractNumId w:val="1"/>
  </w:num>
  <w:num w:numId="2" w16cid:durableId="197817241">
    <w:abstractNumId w:val="17"/>
  </w:num>
  <w:num w:numId="3" w16cid:durableId="499976546">
    <w:abstractNumId w:val="4"/>
  </w:num>
  <w:num w:numId="4" w16cid:durableId="775565450">
    <w:abstractNumId w:val="14"/>
  </w:num>
  <w:num w:numId="5" w16cid:durableId="317921979">
    <w:abstractNumId w:val="7"/>
  </w:num>
  <w:num w:numId="6" w16cid:durableId="1093748685">
    <w:abstractNumId w:val="16"/>
  </w:num>
  <w:num w:numId="7" w16cid:durableId="6443079">
    <w:abstractNumId w:val="12"/>
  </w:num>
  <w:num w:numId="8" w16cid:durableId="654532959">
    <w:abstractNumId w:val="18"/>
  </w:num>
  <w:num w:numId="9" w16cid:durableId="1416516100">
    <w:abstractNumId w:val="19"/>
  </w:num>
  <w:num w:numId="10" w16cid:durableId="1000277024">
    <w:abstractNumId w:val="3"/>
  </w:num>
  <w:num w:numId="11" w16cid:durableId="2129545689">
    <w:abstractNumId w:val="22"/>
  </w:num>
  <w:num w:numId="12" w16cid:durableId="1416853309">
    <w:abstractNumId w:val="21"/>
  </w:num>
  <w:num w:numId="13" w16cid:durableId="1133526417">
    <w:abstractNumId w:val="11"/>
  </w:num>
  <w:num w:numId="14" w16cid:durableId="82410570">
    <w:abstractNumId w:val="8"/>
  </w:num>
  <w:num w:numId="15" w16cid:durableId="908342626">
    <w:abstractNumId w:val="0"/>
  </w:num>
  <w:num w:numId="16" w16cid:durableId="816535996">
    <w:abstractNumId w:val="6"/>
  </w:num>
  <w:num w:numId="17" w16cid:durableId="758065500">
    <w:abstractNumId w:val="13"/>
  </w:num>
  <w:num w:numId="18" w16cid:durableId="1045175731">
    <w:abstractNumId w:val="23"/>
  </w:num>
  <w:num w:numId="19" w16cid:durableId="1996106555">
    <w:abstractNumId w:val="5"/>
  </w:num>
  <w:num w:numId="20" w16cid:durableId="516968188">
    <w:abstractNumId w:val="9"/>
  </w:num>
  <w:num w:numId="21" w16cid:durableId="1790003917">
    <w:abstractNumId w:val="15"/>
  </w:num>
  <w:num w:numId="22" w16cid:durableId="1761364103">
    <w:abstractNumId w:val="20"/>
  </w:num>
  <w:num w:numId="23" w16cid:durableId="49305316">
    <w:abstractNumId w:val="2"/>
  </w:num>
  <w:num w:numId="24" w16cid:durableId="10767788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D64"/>
    <w:rsid w:val="000120BA"/>
    <w:rsid w:val="00013650"/>
    <w:rsid w:val="00040BD6"/>
    <w:rsid w:val="00052781"/>
    <w:rsid w:val="000E2E83"/>
    <w:rsid w:val="001113B8"/>
    <w:rsid w:val="001423C9"/>
    <w:rsid w:val="00174D5A"/>
    <w:rsid w:val="001D1C17"/>
    <w:rsid w:val="001F748C"/>
    <w:rsid w:val="002054BF"/>
    <w:rsid w:val="0025205A"/>
    <w:rsid w:val="00295301"/>
    <w:rsid w:val="002A7E88"/>
    <w:rsid w:val="002B582D"/>
    <w:rsid w:val="002F3750"/>
    <w:rsid w:val="002F39BC"/>
    <w:rsid w:val="00313EE6"/>
    <w:rsid w:val="0034327E"/>
    <w:rsid w:val="003C787A"/>
    <w:rsid w:val="003E471E"/>
    <w:rsid w:val="00445942"/>
    <w:rsid w:val="00453E3F"/>
    <w:rsid w:val="004A767E"/>
    <w:rsid w:val="004B1D60"/>
    <w:rsid w:val="005315CD"/>
    <w:rsid w:val="00555E72"/>
    <w:rsid w:val="00566405"/>
    <w:rsid w:val="005C5E8D"/>
    <w:rsid w:val="00626A1F"/>
    <w:rsid w:val="00641AFE"/>
    <w:rsid w:val="00666FBF"/>
    <w:rsid w:val="006E3AA4"/>
    <w:rsid w:val="007005D9"/>
    <w:rsid w:val="007262DC"/>
    <w:rsid w:val="00760992"/>
    <w:rsid w:val="00793D4A"/>
    <w:rsid w:val="007948A0"/>
    <w:rsid w:val="007B7B15"/>
    <w:rsid w:val="007E14B3"/>
    <w:rsid w:val="007E3FED"/>
    <w:rsid w:val="00846112"/>
    <w:rsid w:val="00875DB8"/>
    <w:rsid w:val="008B646A"/>
    <w:rsid w:val="009136E2"/>
    <w:rsid w:val="00914FCC"/>
    <w:rsid w:val="00925DD6"/>
    <w:rsid w:val="009C12B2"/>
    <w:rsid w:val="009F6E4F"/>
    <w:rsid w:val="00A77910"/>
    <w:rsid w:val="00AA2A6B"/>
    <w:rsid w:val="00AC3B89"/>
    <w:rsid w:val="00AD078D"/>
    <w:rsid w:val="00B81EB8"/>
    <w:rsid w:val="00B84205"/>
    <w:rsid w:val="00B95C23"/>
    <w:rsid w:val="00BB700C"/>
    <w:rsid w:val="00BF3634"/>
    <w:rsid w:val="00CD474A"/>
    <w:rsid w:val="00CE659C"/>
    <w:rsid w:val="00CF1F49"/>
    <w:rsid w:val="00D12FEE"/>
    <w:rsid w:val="00D43B90"/>
    <w:rsid w:val="00D60801"/>
    <w:rsid w:val="00D62F5A"/>
    <w:rsid w:val="00D910AF"/>
    <w:rsid w:val="00DD299A"/>
    <w:rsid w:val="00EA5C2A"/>
    <w:rsid w:val="00EF0D64"/>
    <w:rsid w:val="00EF2061"/>
    <w:rsid w:val="00F42AA0"/>
    <w:rsid w:val="00F642C0"/>
    <w:rsid w:val="00F72977"/>
    <w:rsid w:val="00F80E5B"/>
    <w:rsid w:val="00FA3D55"/>
    <w:rsid w:val="00FA6D96"/>
    <w:rsid w:val="00FE29BD"/>
    <w:rsid w:val="00FE6C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67274"/>
  <w15:chartTrackingRefBased/>
  <w15:docId w15:val="{D39D235C-7856-484E-B312-4A9F2E970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1"/>
    <w:qFormat/>
    <w:rsid w:val="00295301"/>
    <w:pPr>
      <w:ind w:left="720"/>
    </w:pPr>
  </w:style>
  <w:style w:type="paragraph" w:styleId="BodyText">
    <w:name w:val="Body Text"/>
    <w:basedOn w:val="Normal"/>
    <w:link w:val="BodyTextChar"/>
    <w:uiPriority w:val="1"/>
    <w:qFormat/>
    <w:rsid w:val="00666FBF"/>
    <w:pPr>
      <w:widowControl w:val="0"/>
      <w:autoSpaceDE w:val="0"/>
      <w:autoSpaceDN w:val="0"/>
    </w:pPr>
  </w:style>
  <w:style w:type="character" w:customStyle="1" w:styleId="BodyTextChar">
    <w:name w:val="Body Text Char"/>
    <w:basedOn w:val="DefaultParagraphFont"/>
    <w:link w:val="BodyText"/>
    <w:uiPriority w:val="1"/>
    <w:rsid w:val="00666FBF"/>
    <w:rPr>
      <w:sz w:val="24"/>
      <w:szCs w:val="24"/>
      <w:lang w:val="en-US" w:eastAsia="en-US"/>
    </w:rPr>
  </w:style>
  <w:style w:type="table" w:styleId="TableGrid">
    <w:name w:val="Table Grid"/>
    <w:basedOn w:val="TableNormal"/>
    <w:uiPriority w:val="39"/>
    <w:rsid w:val="008B6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775617">
      <w:bodyDiv w:val="1"/>
      <w:marLeft w:val="0"/>
      <w:marRight w:val="0"/>
      <w:marTop w:val="0"/>
      <w:marBottom w:val="0"/>
      <w:divBdr>
        <w:top w:val="none" w:sz="0" w:space="0" w:color="auto"/>
        <w:left w:val="none" w:sz="0" w:space="0" w:color="auto"/>
        <w:bottom w:val="none" w:sz="0" w:space="0" w:color="auto"/>
        <w:right w:val="none" w:sz="0" w:space="0" w:color="auto"/>
      </w:divBdr>
    </w:div>
    <w:div w:id="184007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1012</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Queen's Unversity</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Langham</dc:creator>
  <cp:keywords/>
  <dc:description/>
  <cp:lastModifiedBy>Raico Laria Lamela</cp:lastModifiedBy>
  <cp:revision>47</cp:revision>
  <cp:lastPrinted>2003-07-16T19:45:00Z</cp:lastPrinted>
  <dcterms:created xsi:type="dcterms:W3CDTF">2025-05-21T17:40:00Z</dcterms:created>
  <dcterms:modified xsi:type="dcterms:W3CDTF">2025-05-21T18:54:00Z</dcterms:modified>
</cp:coreProperties>
</file>