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3F518" w14:textId="5D68BCBD" w:rsidR="003A35C1" w:rsidRPr="00646F81" w:rsidRDefault="003A35C1" w:rsidP="00646F81">
      <w:pPr>
        <w:pStyle w:val="Heading1"/>
        <w:jc w:val="center"/>
        <w:rPr>
          <w:rFonts w:asciiTheme="minorHAnsi" w:hAnsiTheme="minorHAnsi" w:cstheme="minorHAnsi"/>
          <w:b/>
          <w:color w:val="auto"/>
          <w:sz w:val="22"/>
          <w:szCs w:val="22"/>
        </w:rPr>
      </w:pPr>
      <w:bookmarkStart w:id="0" w:name="Virtual_Research_–_for_REB_member_use"/>
      <w:bookmarkStart w:id="1" w:name="_GoBack"/>
      <w:bookmarkEnd w:id="0"/>
      <w:bookmarkEnd w:id="1"/>
      <w:r w:rsidRPr="00646F81">
        <w:rPr>
          <w:rFonts w:asciiTheme="minorHAnsi" w:hAnsiTheme="minorHAnsi" w:cstheme="minorHAnsi"/>
          <w:b/>
          <w:color w:val="auto"/>
          <w:sz w:val="22"/>
          <w:szCs w:val="22"/>
        </w:rPr>
        <w:t>Vi</w:t>
      </w:r>
      <w:r w:rsidR="00CB5540" w:rsidRPr="00646F81">
        <w:rPr>
          <w:rFonts w:asciiTheme="minorHAnsi" w:hAnsiTheme="minorHAnsi" w:cstheme="minorHAnsi"/>
          <w:b/>
          <w:color w:val="auto"/>
          <w:sz w:val="22"/>
          <w:szCs w:val="22"/>
        </w:rPr>
        <w:t>rtual Research Guidelines</w:t>
      </w:r>
    </w:p>
    <w:p w14:paraId="66EE579C" w14:textId="77777777" w:rsidR="003A35C1" w:rsidRPr="00646F81" w:rsidRDefault="003A35C1" w:rsidP="003A35C1">
      <w:pPr>
        <w:pStyle w:val="NoSpacing"/>
        <w:rPr>
          <w:rFonts w:cstheme="minorHAnsi"/>
        </w:rPr>
      </w:pPr>
    </w:p>
    <w:p w14:paraId="47C959C3" w14:textId="4ACAB18E" w:rsidR="003A35C1" w:rsidRPr="00646F81" w:rsidRDefault="003A35C1" w:rsidP="003A35C1">
      <w:pPr>
        <w:pStyle w:val="NoSpacing"/>
        <w:rPr>
          <w:rFonts w:cstheme="minorHAnsi"/>
        </w:rPr>
      </w:pPr>
      <w:r w:rsidRPr="00646F81">
        <w:rPr>
          <w:rFonts w:cstheme="minorHAnsi"/>
        </w:rPr>
        <w:t>While we have provided the following guidance and suggestions for how to approach virtual interactions, different approaches can still be used, provided the privacy and security details of</w:t>
      </w:r>
      <w:r w:rsidR="00CB5540" w:rsidRPr="00646F81">
        <w:rPr>
          <w:rFonts w:cstheme="minorHAnsi"/>
        </w:rPr>
        <w:t xml:space="preserve"> the approach can be justified.</w:t>
      </w:r>
      <w:r w:rsidR="00646F81">
        <w:rPr>
          <w:rFonts w:cstheme="minorHAnsi"/>
        </w:rPr>
        <w:t xml:space="preserve"> </w:t>
      </w:r>
      <w:r w:rsidR="00646F81" w:rsidRPr="00646F81">
        <w:rPr>
          <w:rFonts w:cstheme="minorHAnsi"/>
        </w:rPr>
        <w:t>If you have any questions about your virtual research plan, contact the IT Support Centre at (613) 533-6666 or by filling out the Online Help Form. For the most up to date information about Connecting and Collaborating Remotely visit Queen’s ITS</w:t>
      </w:r>
      <w:r w:rsidR="00646F81">
        <w:rPr>
          <w:rFonts w:cstheme="minorHAnsi"/>
        </w:rPr>
        <w:t>.</w:t>
      </w:r>
    </w:p>
    <w:p w14:paraId="7B50F073" w14:textId="77777777" w:rsidR="00A54FBE" w:rsidRPr="00646F81" w:rsidRDefault="00A54FBE" w:rsidP="003A35C1">
      <w:pPr>
        <w:pStyle w:val="NoSpacing"/>
        <w:rPr>
          <w:rFonts w:cstheme="minorHAnsi"/>
        </w:rPr>
      </w:pPr>
    </w:p>
    <w:p w14:paraId="59DE46C4" w14:textId="6BACB507" w:rsidR="003A35C1" w:rsidRPr="00646F81" w:rsidRDefault="003A35C1" w:rsidP="002A069D">
      <w:pPr>
        <w:pStyle w:val="NoSpacing"/>
        <w:rPr>
          <w:rStyle w:val="Hyperlink"/>
          <w:rFonts w:cstheme="minorHAnsi"/>
          <w:bCs/>
          <w:color w:val="auto"/>
          <w:u w:val="none"/>
        </w:rPr>
      </w:pPr>
      <w:r w:rsidRPr="00646F81">
        <w:rPr>
          <w:rFonts w:cstheme="minorHAnsi"/>
          <w:b/>
        </w:rPr>
        <w:t>Jump to:</w:t>
      </w:r>
      <w:r w:rsidR="00646F81">
        <w:rPr>
          <w:rFonts w:cstheme="minorHAnsi"/>
          <w:b/>
        </w:rPr>
        <w:t xml:space="preserve"> </w:t>
      </w:r>
      <w:hyperlink w:anchor="_Informed_Consent" w:history="1">
        <w:r w:rsidR="00FC611E" w:rsidRPr="00646F81">
          <w:rPr>
            <w:rStyle w:val="Hyperlink"/>
            <w:rFonts w:cstheme="minorHAnsi"/>
            <w:bCs/>
          </w:rPr>
          <w:t>Consent</w:t>
        </w:r>
      </w:hyperlink>
      <w:r w:rsidR="00646F81">
        <w:rPr>
          <w:rFonts w:cstheme="minorHAnsi"/>
          <w:bCs/>
        </w:rPr>
        <w:tab/>
      </w:r>
      <w:r w:rsidR="00BF7821">
        <w:rPr>
          <w:rFonts w:cstheme="minorHAnsi"/>
          <w:bCs/>
        </w:rPr>
        <w:tab/>
      </w:r>
      <w:r w:rsidR="00BF7821">
        <w:rPr>
          <w:rFonts w:cstheme="minorHAnsi"/>
          <w:bCs/>
        </w:rPr>
        <w:tab/>
      </w:r>
      <w:r w:rsidR="00BF7821">
        <w:rPr>
          <w:rFonts w:cstheme="minorHAnsi"/>
          <w:bCs/>
        </w:rPr>
        <w:tab/>
      </w:r>
      <w:hyperlink w:anchor="Virtual_Platforms" w:history="1">
        <w:r w:rsidR="002A069D" w:rsidRPr="00646F81">
          <w:rPr>
            <w:rStyle w:val="Hyperlink"/>
            <w:rFonts w:cstheme="minorHAnsi"/>
          </w:rPr>
          <w:t>Virtual Platforms</w:t>
        </w:r>
      </w:hyperlink>
      <w:r w:rsidR="00646F81">
        <w:rPr>
          <w:rFonts w:cstheme="minorHAnsi"/>
          <w:bCs/>
        </w:rPr>
        <w:tab/>
      </w:r>
      <w:r w:rsidR="00BF7821">
        <w:rPr>
          <w:rFonts w:cstheme="minorHAnsi"/>
          <w:bCs/>
        </w:rPr>
        <w:tab/>
      </w:r>
      <w:r w:rsidR="00BF7821">
        <w:rPr>
          <w:rFonts w:cstheme="minorHAnsi"/>
          <w:bCs/>
        </w:rPr>
        <w:tab/>
      </w:r>
      <w:r w:rsidR="00BF7821">
        <w:rPr>
          <w:rFonts w:cstheme="minorHAnsi"/>
          <w:bCs/>
        </w:rPr>
        <w:tab/>
      </w:r>
      <w:r w:rsidR="00BF7821">
        <w:rPr>
          <w:rFonts w:cstheme="minorHAnsi"/>
          <w:bCs/>
        </w:rPr>
        <w:tab/>
      </w:r>
      <w:r w:rsidR="002A069D" w:rsidRPr="00646F81">
        <w:rPr>
          <w:rStyle w:val="Hyperlink"/>
          <w:rFonts w:cstheme="minorHAnsi"/>
          <w:color w:val="auto"/>
        </w:rPr>
        <w:fldChar w:fldCharType="begin"/>
      </w:r>
      <w:r w:rsidR="002A069D" w:rsidRPr="00646F81">
        <w:rPr>
          <w:rStyle w:val="Hyperlink"/>
          <w:rFonts w:cstheme="minorHAnsi"/>
          <w:color w:val="auto"/>
        </w:rPr>
        <w:instrText xml:space="preserve"> HYPERLINK  \l "_Sending_Incentives" </w:instrText>
      </w:r>
      <w:r w:rsidR="002A069D" w:rsidRPr="00646F81">
        <w:rPr>
          <w:rStyle w:val="Hyperlink"/>
          <w:rFonts w:cstheme="minorHAnsi"/>
          <w:color w:val="auto"/>
        </w:rPr>
        <w:fldChar w:fldCharType="separate"/>
      </w:r>
      <w:r w:rsidRPr="00646F81">
        <w:rPr>
          <w:rStyle w:val="Hyperlink"/>
          <w:rFonts w:cstheme="minorHAnsi"/>
        </w:rPr>
        <w:t>Incentives</w:t>
      </w:r>
      <w:bookmarkStart w:id="2" w:name="Consent"/>
      <w:bookmarkStart w:id="3" w:name="_bookmark0"/>
      <w:bookmarkEnd w:id="2"/>
      <w:bookmarkEnd w:id="3"/>
    </w:p>
    <w:p w14:paraId="3F4DBC2C" w14:textId="490A5686" w:rsidR="003A35C1" w:rsidRPr="00646F81" w:rsidRDefault="002A069D" w:rsidP="003A35C1">
      <w:pPr>
        <w:pStyle w:val="NoSpacing"/>
        <w:rPr>
          <w:rFonts w:cstheme="minorHAnsi"/>
          <w:b/>
        </w:rPr>
      </w:pPr>
      <w:r w:rsidRPr="00646F81">
        <w:rPr>
          <w:rStyle w:val="Hyperlink"/>
          <w:rFonts w:cstheme="minorHAnsi"/>
          <w:color w:val="auto"/>
        </w:rPr>
        <w:fldChar w:fldCharType="end"/>
      </w:r>
    </w:p>
    <w:p w14:paraId="2438BE33" w14:textId="0292214C" w:rsidR="003A35C1" w:rsidRPr="00646F81" w:rsidRDefault="00554858" w:rsidP="003A35C1">
      <w:pPr>
        <w:pStyle w:val="Heading2"/>
        <w:rPr>
          <w:rFonts w:asciiTheme="minorHAnsi" w:hAnsiTheme="minorHAnsi" w:cstheme="minorHAnsi"/>
          <w:b/>
          <w:color w:val="auto"/>
          <w:sz w:val="22"/>
          <w:szCs w:val="22"/>
        </w:rPr>
      </w:pPr>
      <w:bookmarkStart w:id="4" w:name="_Informed_Consent"/>
      <w:bookmarkEnd w:id="4"/>
      <w:r w:rsidRPr="00646F81">
        <w:rPr>
          <w:rFonts w:asciiTheme="minorHAnsi" w:hAnsiTheme="minorHAnsi" w:cstheme="minorHAnsi"/>
          <w:b/>
          <w:color w:val="auto"/>
          <w:sz w:val="22"/>
          <w:szCs w:val="22"/>
        </w:rPr>
        <w:t xml:space="preserve">Informed </w:t>
      </w:r>
      <w:r w:rsidR="003A35C1" w:rsidRPr="00646F81">
        <w:rPr>
          <w:rFonts w:asciiTheme="minorHAnsi" w:hAnsiTheme="minorHAnsi" w:cstheme="minorHAnsi"/>
          <w:b/>
          <w:color w:val="auto"/>
          <w:sz w:val="22"/>
          <w:szCs w:val="22"/>
        </w:rPr>
        <w:t>Consent</w:t>
      </w:r>
      <w:r w:rsidRPr="00646F81">
        <w:rPr>
          <w:rFonts w:asciiTheme="minorHAnsi" w:hAnsiTheme="minorHAnsi" w:cstheme="minorHAnsi"/>
          <w:b/>
          <w:color w:val="auto"/>
          <w:sz w:val="22"/>
          <w:szCs w:val="22"/>
        </w:rPr>
        <w:t xml:space="preserve"> </w:t>
      </w:r>
    </w:p>
    <w:p w14:paraId="3B140BC5" w14:textId="77777777" w:rsidR="00554858" w:rsidRPr="00646F81" w:rsidRDefault="00554858" w:rsidP="0033304A">
      <w:pPr>
        <w:spacing w:after="0"/>
        <w:rPr>
          <w:rFonts w:cstheme="minorHAnsi"/>
        </w:rPr>
      </w:pPr>
    </w:p>
    <w:p w14:paraId="03494800" w14:textId="77777777" w:rsidR="00646F81" w:rsidRPr="00646F81" w:rsidRDefault="00646F81" w:rsidP="00646F81">
      <w:pPr>
        <w:pStyle w:val="ListParagraph"/>
        <w:numPr>
          <w:ilvl w:val="0"/>
          <w:numId w:val="14"/>
        </w:numPr>
        <w:rPr>
          <w:rFonts w:cstheme="minorHAnsi"/>
          <w:b/>
        </w:rPr>
      </w:pPr>
      <w:bookmarkStart w:id="5" w:name="Sending_Blank_Consent_Forms"/>
      <w:bookmarkEnd w:id="5"/>
      <w:r w:rsidRPr="00646F81">
        <w:rPr>
          <w:rFonts w:cstheme="minorHAnsi"/>
          <w:b/>
        </w:rPr>
        <w:t>Health Canada and/or US Regulated Research</w:t>
      </w:r>
    </w:p>
    <w:p w14:paraId="4CCA86D7" w14:textId="10026E91" w:rsidR="00BF7821" w:rsidRDefault="00646F81" w:rsidP="00646F81">
      <w:pPr>
        <w:pStyle w:val="ListParagraph"/>
        <w:numPr>
          <w:ilvl w:val="0"/>
          <w:numId w:val="1"/>
        </w:numPr>
        <w:rPr>
          <w:rFonts w:cstheme="minorHAnsi"/>
        </w:rPr>
      </w:pPr>
      <w:r w:rsidRPr="00646F81">
        <w:rPr>
          <w:rFonts w:cstheme="minorHAnsi"/>
        </w:rPr>
        <w:t>It is Health Canada's recommendation that all efforts be made for the process of discussing and obtaining informed consent be done in person but if that is not possible, an alternate approached can be considered (e.g., over tel</w:t>
      </w:r>
      <w:r w:rsidR="000C2D5D">
        <w:rPr>
          <w:rFonts w:cstheme="minorHAnsi"/>
        </w:rPr>
        <w:t>ephone/Zoom/Teams/telemedicine).</w:t>
      </w:r>
    </w:p>
    <w:p w14:paraId="2D5BE72B" w14:textId="4A270ADA" w:rsidR="00646F81" w:rsidRDefault="00BF7821" w:rsidP="00646F81">
      <w:pPr>
        <w:pStyle w:val="ListParagraph"/>
        <w:numPr>
          <w:ilvl w:val="0"/>
          <w:numId w:val="1"/>
        </w:numPr>
        <w:rPr>
          <w:rFonts w:cstheme="minorHAnsi"/>
        </w:rPr>
      </w:pPr>
      <w:r>
        <w:rPr>
          <w:rFonts w:cstheme="minorHAnsi"/>
        </w:rPr>
        <w:t xml:space="preserve">The method used must be </w:t>
      </w:r>
      <w:r w:rsidR="00646F81" w:rsidRPr="00646F81">
        <w:rPr>
          <w:rFonts w:cstheme="minorHAnsi"/>
        </w:rPr>
        <w:t xml:space="preserve">documented in the site's Informed Consent SOP, along with a valid rationale and justification for its use submitted to the appropriate REB. </w:t>
      </w:r>
    </w:p>
    <w:p w14:paraId="366A2FDE" w14:textId="3C216D18" w:rsidR="00BF7821" w:rsidRPr="00646F81" w:rsidRDefault="00BD634F" w:rsidP="00646F81">
      <w:pPr>
        <w:pStyle w:val="ListParagraph"/>
        <w:numPr>
          <w:ilvl w:val="0"/>
          <w:numId w:val="1"/>
        </w:numPr>
        <w:rPr>
          <w:rFonts w:cstheme="minorHAnsi"/>
        </w:rPr>
      </w:pPr>
      <w:r>
        <w:rPr>
          <w:rFonts w:cstheme="minorHAnsi"/>
        </w:rPr>
        <w:t>The new process must be</w:t>
      </w:r>
      <w:r w:rsidR="00BF7821">
        <w:rPr>
          <w:rFonts w:cstheme="minorHAnsi"/>
        </w:rPr>
        <w:t xml:space="preserve"> cleared by the REB before implementing the new process.</w:t>
      </w:r>
    </w:p>
    <w:p w14:paraId="550F22A4" w14:textId="77777777" w:rsidR="000C2D5D" w:rsidRDefault="00646F81" w:rsidP="00646F81">
      <w:pPr>
        <w:pStyle w:val="ListParagraph"/>
        <w:numPr>
          <w:ilvl w:val="0"/>
          <w:numId w:val="1"/>
        </w:numPr>
        <w:rPr>
          <w:rFonts w:cstheme="minorHAnsi"/>
        </w:rPr>
      </w:pPr>
      <w:r w:rsidRPr="00646F81">
        <w:rPr>
          <w:rFonts w:cstheme="minorHAnsi"/>
        </w:rPr>
        <w:t>For regulated studies</w:t>
      </w:r>
      <w:r w:rsidR="000C2D5D">
        <w:rPr>
          <w:rFonts w:cstheme="minorHAnsi"/>
        </w:rPr>
        <w:t xml:space="preserve">: </w:t>
      </w:r>
    </w:p>
    <w:p w14:paraId="14B7AE55" w14:textId="500EFC39" w:rsidR="00D27E62" w:rsidRDefault="000C2D5D" w:rsidP="00D27E62">
      <w:pPr>
        <w:pStyle w:val="ListParagraph"/>
        <w:numPr>
          <w:ilvl w:val="0"/>
          <w:numId w:val="19"/>
        </w:numPr>
        <w:rPr>
          <w:rFonts w:cstheme="minorHAnsi"/>
        </w:rPr>
      </w:pPr>
      <w:r>
        <w:rPr>
          <w:rFonts w:cstheme="minorHAnsi"/>
        </w:rPr>
        <w:t>A</w:t>
      </w:r>
      <w:r w:rsidR="00E8376B">
        <w:rPr>
          <w:rFonts w:cstheme="minorHAnsi"/>
        </w:rPr>
        <w:t>n impartial</w:t>
      </w:r>
      <w:r w:rsidR="00646F81" w:rsidRPr="00646F81">
        <w:rPr>
          <w:rFonts w:cstheme="minorHAnsi"/>
        </w:rPr>
        <w:t xml:space="preserve"> witness</w:t>
      </w:r>
      <w:r w:rsidR="00E8376B">
        <w:rPr>
          <w:rFonts w:cstheme="minorHAnsi"/>
        </w:rPr>
        <w:t xml:space="preserve"> (i.e. no connection to the study)</w:t>
      </w:r>
      <w:r w:rsidR="00646F81" w:rsidRPr="00646F81">
        <w:rPr>
          <w:rFonts w:cstheme="minorHAnsi"/>
        </w:rPr>
        <w:t xml:space="preserve"> </w:t>
      </w:r>
      <w:r w:rsidR="00D27E62">
        <w:rPr>
          <w:rFonts w:cstheme="minorHAnsi"/>
        </w:rPr>
        <w:t xml:space="preserve">must be present and must sign an attestation. This witness </w:t>
      </w:r>
      <w:r w:rsidR="00646F81" w:rsidRPr="00646F81">
        <w:rPr>
          <w:rFonts w:cstheme="minorHAnsi"/>
        </w:rPr>
        <w:t xml:space="preserve">should be present </w:t>
      </w:r>
      <w:r w:rsidR="00D27E62">
        <w:rPr>
          <w:rFonts w:cstheme="minorHAnsi"/>
        </w:rPr>
        <w:t xml:space="preserve">(teleconference methods are acceptable) </w:t>
      </w:r>
      <w:r w:rsidR="00646F81" w:rsidRPr="00646F81">
        <w:rPr>
          <w:rFonts w:cstheme="minorHAnsi"/>
        </w:rPr>
        <w:t xml:space="preserve">with the participant during the informed consent process, regardless of the method of communication. </w:t>
      </w:r>
    </w:p>
    <w:p w14:paraId="3E16B447" w14:textId="3ECA9D50" w:rsidR="000C2D5D" w:rsidRDefault="00D27E62" w:rsidP="00D27E62">
      <w:pPr>
        <w:pStyle w:val="ListParagraph"/>
        <w:numPr>
          <w:ilvl w:val="0"/>
          <w:numId w:val="19"/>
        </w:numPr>
        <w:rPr>
          <w:rFonts w:cstheme="minorHAnsi"/>
        </w:rPr>
      </w:pPr>
      <w:r w:rsidRPr="00D27E62">
        <w:rPr>
          <w:rFonts w:cstheme="minorHAnsi"/>
        </w:rPr>
        <w:t>Informed consent procedures should clearly state that the witness to verbal consent must be impartial</w:t>
      </w:r>
      <w:r>
        <w:rPr>
          <w:rFonts w:cstheme="minorHAnsi"/>
        </w:rPr>
        <w:t>.</w:t>
      </w:r>
    </w:p>
    <w:p w14:paraId="67016E54" w14:textId="3F3CF69A" w:rsidR="00D27E62" w:rsidRPr="00D27E62" w:rsidRDefault="00E8376B" w:rsidP="00D27E62">
      <w:pPr>
        <w:pStyle w:val="ListParagraph"/>
        <w:numPr>
          <w:ilvl w:val="0"/>
          <w:numId w:val="19"/>
        </w:numPr>
        <w:rPr>
          <w:rFonts w:cstheme="minorHAnsi"/>
        </w:rPr>
      </w:pPr>
      <w:r>
        <w:rPr>
          <w:rFonts w:cstheme="minorHAnsi"/>
        </w:rPr>
        <w:t>T</w:t>
      </w:r>
      <w:r w:rsidR="00D27E62" w:rsidRPr="00D27E62">
        <w:rPr>
          <w:rFonts w:cstheme="minorHAnsi"/>
        </w:rPr>
        <w:t>he witness can be a family member (can be on a conference call)</w:t>
      </w:r>
    </w:p>
    <w:p w14:paraId="3CF26AED" w14:textId="0DD97F66" w:rsidR="00D27E62" w:rsidRPr="00D27E62" w:rsidRDefault="00E8376B" w:rsidP="00D27E62">
      <w:pPr>
        <w:pStyle w:val="ListParagraph"/>
        <w:numPr>
          <w:ilvl w:val="0"/>
          <w:numId w:val="19"/>
        </w:numPr>
        <w:rPr>
          <w:rFonts w:cstheme="minorHAnsi"/>
        </w:rPr>
      </w:pPr>
      <w:r>
        <w:rPr>
          <w:rFonts w:cstheme="minorHAnsi"/>
        </w:rPr>
        <w:t>A</w:t>
      </w:r>
      <w:r w:rsidR="00D27E62" w:rsidRPr="00D27E62">
        <w:rPr>
          <w:rFonts w:cstheme="minorHAnsi"/>
        </w:rPr>
        <w:t xml:space="preserve"> scanned copy of the attestation can be forwarded to the investigator by email or a picture of the signed attestation can be sent by email or text</w:t>
      </w:r>
      <w:r w:rsidR="00D27E62">
        <w:rPr>
          <w:rFonts w:cstheme="minorHAnsi"/>
        </w:rPr>
        <w:t xml:space="preserve">. </w:t>
      </w:r>
    </w:p>
    <w:p w14:paraId="3AFCDAD8" w14:textId="6F4EE275" w:rsidR="00D27E62" w:rsidRPr="00D27E62" w:rsidRDefault="00E8376B" w:rsidP="00D27E62">
      <w:pPr>
        <w:pStyle w:val="ListParagraph"/>
        <w:numPr>
          <w:ilvl w:val="0"/>
          <w:numId w:val="19"/>
        </w:numPr>
        <w:rPr>
          <w:rFonts w:cstheme="minorHAnsi"/>
        </w:rPr>
      </w:pPr>
      <w:r>
        <w:rPr>
          <w:rFonts w:cstheme="minorHAnsi"/>
        </w:rPr>
        <w:t>T</w:t>
      </w:r>
      <w:r w:rsidR="00D27E62" w:rsidRPr="00D27E62">
        <w:rPr>
          <w:rFonts w:cstheme="minorHAnsi"/>
        </w:rPr>
        <w:t xml:space="preserve">he </w:t>
      </w:r>
      <w:r>
        <w:rPr>
          <w:rFonts w:cstheme="minorHAnsi"/>
        </w:rPr>
        <w:t xml:space="preserve">verbal consent </w:t>
      </w:r>
      <w:r w:rsidR="00D27E62" w:rsidRPr="00D27E62">
        <w:rPr>
          <w:rFonts w:cstheme="minorHAnsi"/>
        </w:rPr>
        <w:t>conversation may be recorded if it is not possible to have a witness</w:t>
      </w:r>
      <w:r>
        <w:rPr>
          <w:rFonts w:cstheme="minorHAnsi"/>
        </w:rPr>
        <w:t xml:space="preserve"> but </w:t>
      </w:r>
      <w:r w:rsidR="00D27E62" w:rsidRPr="00D27E62">
        <w:rPr>
          <w:rFonts w:cstheme="minorHAnsi"/>
        </w:rPr>
        <w:t>this recording be</w:t>
      </w:r>
      <w:r>
        <w:rPr>
          <w:rFonts w:cstheme="minorHAnsi"/>
        </w:rPr>
        <w:t xml:space="preserve">comes part of the trial records. </w:t>
      </w:r>
      <w:r w:rsidR="00D27E62">
        <w:rPr>
          <w:rFonts w:cstheme="minorHAnsi"/>
        </w:rPr>
        <w:t xml:space="preserve"> </w:t>
      </w:r>
    </w:p>
    <w:p w14:paraId="6785DA77" w14:textId="77777777" w:rsidR="00D27E62" w:rsidRDefault="00BF7821" w:rsidP="00D27E62">
      <w:pPr>
        <w:pStyle w:val="ListParagraph"/>
        <w:numPr>
          <w:ilvl w:val="0"/>
          <w:numId w:val="19"/>
        </w:numPr>
        <w:rPr>
          <w:rFonts w:cstheme="minorHAnsi"/>
        </w:rPr>
      </w:pPr>
      <w:r w:rsidRPr="00D27E62">
        <w:rPr>
          <w:rFonts w:cstheme="minorHAnsi"/>
        </w:rPr>
        <w:t xml:space="preserve">You must confirm research participant identity. </w:t>
      </w:r>
    </w:p>
    <w:p w14:paraId="7AE02A64" w14:textId="77777777" w:rsidR="00E8376B" w:rsidRDefault="00D27E62" w:rsidP="0077593C">
      <w:pPr>
        <w:pStyle w:val="ListParagraph"/>
        <w:numPr>
          <w:ilvl w:val="0"/>
          <w:numId w:val="19"/>
        </w:numPr>
        <w:spacing w:before="41" w:line="240" w:lineRule="auto"/>
        <w:rPr>
          <w:rFonts w:cstheme="minorHAnsi"/>
        </w:rPr>
      </w:pPr>
      <w:r w:rsidRPr="00DD725B">
        <w:rPr>
          <w:rFonts w:cstheme="minorHAnsi"/>
        </w:rPr>
        <w:t>The participant should indicate they are voluntarily accepting participation in the trial.</w:t>
      </w:r>
    </w:p>
    <w:p w14:paraId="2F84F478" w14:textId="77777777" w:rsidR="00E8376B" w:rsidRDefault="00E8376B" w:rsidP="0077593C">
      <w:pPr>
        <w:pStyle w:val="ListParagraph"/>
        <w:numPr>
          <w:ilvl w:val="0"/>
          <w:numId w:val="19"/>
        </w:numPr>
        <w:spacing w:before="41" w:line="240" w:lineRule="auto"/>
        <w:rPr>
          <w:rFonts w:cstheme="minorHAnsi"/>
        </w:rPr>
      </w:pPr>
      <w:r w:rsidRPr="00DD725B">
        <w:rPr>
          <w:rFonts w:cstheme="minorHAnsi"/>
        </w:rPr>
        <w:t xml:space="preserve">Additionally, a note in the trial records should be made explaining the circumstances of why informed consent was obtained through an alternative method. </w:t>
      </w:r>
    </w:p>
    <w:p w14:paraId="63B47FFA" w14:textId="7999B177" w:rsidR="00E8376B" w:rsidRPr="00DD725B" w:rsidRDefault="00E8376B" w:rsidP="0077593C">
      <w:pPr>
        <w:pStyle w:val="ListParagraph"/>
        <w:numPr>
          <w:ilvl w:val="0"/>
          <w:numId w:val="19"/>
        </w:numPr>
        <w:spacing w:before="41" w:line="240" w:lineRule="auto"/>
        <w:rPr>
          <w:rFonts w:cstheme="minorHAnsi"/>
        </w:rPr>
      </w:pPr>
      <w:r w:rsidRPr="00DD725B">
        <w:rPr>
          <w:rFonts w:cstheme="minorHAnsi"/>
        </w:rPr>
        <w:t>The case history (i.e. documentation of consent process) must document that informed consent was obtained prior to participation in the study.</w:t>
      </w:r>
    </w:p>
    <w:p w14:paraId="2C9F863A" w14:textId="7C5AC89D" w:rsidR="00D27E62" w:rsidRPr="00D27E62" w:rsidRDefault="00D27E62" w:rsidP="00D27E62">
      <w:pPr>
        <w:pStyle w:val="ListParagraph"/>
        <w:numPr>
          <w:ilvl w:val="0"/>
          <w:numId w:val="19"/>
        </w:numPr>
        <w:rPr>
          <w:rFonts w:cstheme="minorHAnsi"/>
        </w:rPr>
      </w:pPr>
      <w:r>
        <w:rPr>
          <w:rFonts w:cstheme="minorHAnsi"/>
        </w:rPr>
        <w:t xml:space="preserve">You must </w:t>
      </w:r>
      <w:r w:rsidRPr="00D27E62">
        <w:rPr>
          <w:rFonts w:cstheme="minorHAnsi"/>
        </w:rPr>
        <w:t>ensure participants always have an opportunity to ask questions before they give their consent</w:t>
      </w:r>
      <w:r>
        <w:rPr>
          <w:rFonts w:cstheme="minorHAnsi"/>
        </w:rPr>
        <w:t>.</w:t>
      </w:r>
    </w:p>
    <w:p w14:paraId="488801C2" w14:textId="77777777" w:rsidR="000C2D5D" w:rsidRDefault="00646F81" w:rsidP="000C2D5D">
      <w:pPr>
        <w:pStyle w:val="ListParagraph"/>
        <w:numPr>
          <w:ilvl w:val="0"/>
          <w:numId w:val="19"/>
        </w:numPr>
        <w:rPr>
          <w:rFonts w:cstheme="minorHAnsi"/>
        </w:rPr>
      </w:pPr>
      <w:r w:rsidRPr="000C2D5D">
        <w:rPr>
          <w:rFonts w:cstheme="minorHAnsi"/>
        </w:rPr>
        <w:t>At the first in-person visit, participants should bring the original signed LOI/CF that was previously discussed remotely. At this time, person who conducted the remote discussion should sign and date the original LOI/CF that was signed</w:t>
      </w:r>
      <w:r w:rsidR="00BF7821" w:rsidRPr="000C2D5D">
        <w:rPr>
          <w:rFonts w:cstheme="minorHAnsi"/>
        </w:rPr>
        <w:t xml:space="preserve"> </w:t>
      </w:r>
      <w:r w:rsidRPr="000C2D5D">
        <w:rPr>
          <w:rFonts w:cstheme="minorHAnsi"/>
        </w:rPr>
        <w:t xml:space="preserve">by the participant during </w:t>
      </w:r>
      <w:r w:rsidR="00BF7821" w:rsidRPr="000C2D5D">
        <w:rPr>
          <w:rFonts w:cstheme="minorHAnsi"/>
        </w:rPr>
        <w:t xml:space="preserve">first virtual (alternative) visit. </w:t>
      </w:r>
    </w:p>
    <w:p w14:paraId="1FF12CEA" w14:textId="43344D58" w:rsidR="00646F81" w:rsidRPr="000C2D5D" w:rsidRDefault="00646F81" w:rsidP="000C2D5D">
      <w:pPr>
        <w:pStyle w:val="ListParagraph"/>
        <w:numPr>
          <w:ilvl w:val="0"/>
          <w:numId w:val="19"/>
        </w:numPr>
        <w:rPr>
          <w:rFonts w:cstheme="minorHAnsi"/>
        </w:rPr>
      </w:pPr>
      <w:r w:rsidRPr="000C2D5D">
        <w:rPr>
          <w:rFonts w:cstheme="minorHAnsi"/>
        </w:rPr>
        <w:t xml:space="preserve">A copy of the signed LOI/CF should then be given to the participant and the original should be filed as per record retention requirements. </w:t>
      </w:r>
    </w:p>
    <w:p w14:paraId="0254CD4D" w14:textId="77777777" w:rsidR="00646F81" w:rsidRPr="00646F81" w:rsidRDefault="00646F81" w:rsidP="00646F81">
      <w:pPr>
        <w:pStyle w:val="ListParagraph"/>
        <w:numPr>
          <w:ilvl w:val="0"/>
          <w:numId w:val="1"/>
        </w:numPr>
        <w:rPr>
          <w:rFonts w:cstheme="minorHAnsi"/>
          <w:b/>
        </w:rPr>
      </w:pPr>
      <w:r w:rsidRPr="00646F81">
        <w:rPr>
          <w:rFonts w:cstheme="minorHAnsi"/>
        </w:rPr>
        <w:t xml:space="preserve">COVID-19 guidance documents can be referenced below for </w:t>
      </w:r>
      <w:r w:rsidRPr="00646F81">
        <w:rPr>
          <w:rFonts w:cstheme="minorHAnsi"/>
          <w:b/>
        </w:rPr>
        <w:t>Health Canada, FDA, and the Office for Human Research Protections (OHRP):</w:t>
      </w:r>
    </w:p>
    <w:p w14:paraId="0A54B09C" w14:textId="77777777" w:rsidR="00646F81" w:rsidRPr="00646F81" w:rsidRDefault="00F63D16" w:rsidP="00646F81">
      <w:pPr>
        <w:pStyle w:val="ListParagraph"/>
        <w:numPr>
          <w:ilvl w:val="0"/>
          <w:numId w:val="18"/>
        </w:numPr>
        <w:spacing w:after="0" w:line="240" w:lineRule="auto"/>
        <w:rPr>
          <w:rFonts w:cstheme="minorHAnsi"/>
          <w:b/>
          <w:bCs/>
          <w:color w:val="4472C4" w:themeColor="accent1"/>
        </w:rPr>
      </w:pPr>
      <w:hyperlink r:id="rId8" w:history="1">
        <w:r w:rsidR="00646F81" w:rsidRPr="00646F81">
          <w:rPr>
            <w:rStyle w:val="Hyperlink"/>
            <w:rFonts w:cstheme="minorHAnsi"/>
            <w:b/>
            <w:bCs/>
            <w:color w:val="4472C4" w:themeColor="accent1"/>
          </w:rPr>
          <w:t>Health Canada - Management of clinical trials during the COVID-19 pandemic: Notice to clinical trial sponsors</w:t>
        </w:r>
      </w:hyperlink>
    </w:p>
    <w:p w14:paraId="6E07F589" w14:textId="77777777" w:rsidR="00646F81" w:rsidRPr="00646F81" w:rsidRDefault="00F63D16" w:rsidP="00646F81">
      <w:pPr>
        <w:pStyle w:val="ListParagraph"/>
        <w:numPr>
          <w:ilvl w:val="0"/>
          <w:numId w:val="18"/>
        </w:numPr>
        <w:spacing w:after="0" w:line="240" w:lineRule="auto"/>
        <w:rPr>
          <w:rFonts w:cstheme="minorHAnsi"/>
          <w:b/>
          <w:bCs/>
          <w:color w:val="4472C4" w:themeColor="accent1"/>
        </w:rPr>
      </w:pPr>
      <w:hyperlink r:id="rId9" w:history="1">
        <w:r w:rsidR="00646F81" w:rsidRPr="00646F81">
          <w:rPr>
            <w:rStyle w:val="Hyperlink"/>
            <w:rFonts w:cstheme="minorHAnsi"/>
            <w:b/>
            <w:bCs/>
            <w:color w:val="4472C4" w:themeColor="accent1"/>
          </w:rPr>
          <w:t xml:space="preserve">FDA Guidance on Conduct of Clinical Trials of Medical Products during COVID-19 Public Health Emergency </w:t>
        </w:r>
        <w:r w:rsidR="00646F81" w:rsidRPr="00646F81">
          <w:rPr>
            <w:rStyle w:val="Hyperlink"/>
            <w:rFonts w:cstheme="minorHAnsi"/>
            <w:b/>
            <w:iCs/>
            <w:color w:val="4472C4" w:themeColor="accent1"/>
          </w:rPr>
          <w:t>Guidance for Industry, Investigators, and Institutional Review Boards</w:t>
        </w:r>
      </w:hyperlink>
    </w:p>
    <w:p w14:paraId="426387B0" w14:textId="66E67F15" w:rsidR="00646F81" w:rsidRPr="00646F81" w:rsidRDefault="00F63D16" w:rsidP="00646F81">
      <w:pPr>
        <w:pStyle w:val="ListParagraph"/>
        <w:numPr>
          <w:ilvl w:val="0"/>
          <w:numId w:val="18"/>
        </w:numPr>
        <w:spacing w:after="0" w:line="240" w:lineRule="auto"/>
        <w:rPr>
          <w:rStyle w:val="Hyperlink"/>
          <w:rFonts w:cstheme="minorHAnsi"/>
          <w:b/>
          <w:bCs/>
          <w:color w:val="4472C4" w:themeColor="accent1"/>
          <w:u w:val="none"/>
        </w:rPr>
      </w:pPr>
      <w:hyperlink r:id="rId10" w:history="1">
        <w:r w:rsidR="00646F81" w:rsidRPr="00646F81">
          <w:rPr>
            <w:rStyle w:val="Hyperlink"/>
            <w:rFonts w:cstheme="minorHAnsi"/>
            <w:b/>
            <w:bCs/>
            <w:color w:val="4472C4" w:themeColor="accent1"/>
          </w:rPr>
          <w:t>OHRP Guidance on Coronavirus | HHS.gov - Research Guidance on Coronavirus</w:t>
        </w:r>
      </w:hyperlink>
    </w:p>
    <w:p w14:paraId="33A6350D" w14:textId="77777777" w:rsidR="00646F81" w:rsidRPr="00646F81" w:rsidRDefault="00646F81" w:rsidP="00646F81">
      <w:pPr>
        <w:pStyle w:val="ListParagraph"/>
        <w:spacing w:after="0" w:line="240" w:lineRule="auto"/>
        <w:ind w:left="1170"/>
        <w:rPr>
          <w:rStyle w:val="Hyperlink"/>
          <w:rFonts w:cstheme="minorHAnsi"/>
          <w:b/>
          <w:bCs/>
          <w:color w:val="4472C4" w:themeColor="accent1"/>
          <w:u w:val="none"/>
        </w:rPr>
      </w:pPr>
    </w:p>
    <w:p w14:paraId="48FC59BC" w14:textId="4D0D3473" w:rsidR="003A35C1" w:rsidRPr="00646F81" w:rsidRDefault="003A35C1" w:rsidP="00E75088">
      <w:pPr>
        <w:pStyle w:val="Heading3"/>
        <w:numPr>
          <w:ilvl w:val="0"/>
          <w:numId w:val="14"/>
        </w:numPr>
        <w:spacing w:before="0" w:after="160"/>
        <w:ind w:left="270" w:hanging="270"/>
        <w:rPr>
          <w:rFonts w:asciiTheme="minorHAnsi" w:hAnsiTheme="minorHAnsi" w:cstheme="minorHAnsi"/>
          <w:b/>
          <w:bCs/>
          <w:color w:val="000000" w:themeColor="text1"/>
          <w:sz w:val="22"/>
          <w:szCs w:val="22"/>
        </w:rPr>
      </w:pPr>
      <w:r w:rsidRPr="00646F81">
        <w:rPr>
          <w:rFonts w:asciiTheme="minorHAnsi" w:hAnsiTheme="minorHAnsi" w:cstheme="minorHAnsi"/>
          <w:b/>
          <w:bCs/>
          <w:color w:val="000000" w:themeColor="text1"/>
          <w:sz w:val="22"/>
          <w:szCs w:val="22"/>
        </w:rPr>
        <w:lastRenderedPageBreak/>
        <w:t>Standard Canada Post Mail or alternative secure mailing service (</w:t>
      </w:r>
      <w:r w:rsidR="000C2D5D">
        <w:rPr>
          <w:rFonts w:asciiTheme="minorHAnsi" w:hAnsiTheme="minorHAnsi" w:cstheme="minorHAnsi"/>
          <w:b/>
          <w:bCs/>
          <w:color w:val="000000" w:themeColor="text1"/>
          <w:sz w:val="22"/>
          <w:szCs w:val="22"/>
        </w:rPr>
        <w:t xml:space="preserve">e.g., </w:t>
      </w:r>
      <w:r w:rsidRPr="00646F81">
        <w:rPr>
          <w:rFonts w:asciiTheme="minorHAnsi" w:hAnsiTheme="minorHAnsi" w:cstheme="minorHAnsi"/>
          <w:b/>
          <w:bCs/>
          <w:color w:val="000000" w:themeColor="text1"/>
          <w:sz w:val="22"/>
          <w:szCs w:val="22"/>
        </w:rPr>
        <w:t>UPS)</w:t>
      </w:r>
    </w:p>
    <w:p w14:paraId="140B61CF" w14:textId="3F63BD2D" w:rsidR="003A35C1" w:rsidRPr="00646F81" w:rsidRDefault="003A35C1" w:rsidP="002A069D">
      <w:pPr>
        <w:pStyle w:val="Heading3"/>
        <w:numPr>
          <w:ilvl w:val="0"/>
          <w:numId w:val="14"/>
        </w:numPr>
        <w:ind w:left="270" w:hanging="270"/>
        <w:rPr>
          <w:rFonts w:asciiTheme="minorHAnsi" w:hAnsiTheme="minorHAnsi" w:cstheme="minorHAnsi"/>
          <w:b/>
          <w:bCs/>
          <w:color w:val="000000" w:themeColor="text1"/>
          <w:sz w:val="22"/>
          <w:szCs w:val="22"/>
        </w:rPr>
      </w:pPr>
      <w:r w:rsidRPr="00646F81">
        <w:rPr>
          <w:rFonts w:asciiTheme="minorHAnsi" w:hAnsiTheme="minorHAnsi" w:cstheme="minorHAnsi"/>
          <w:b/>
          <w:bCs/>
          <w:color w:val="000000" w:themeColor="text1"/>
          <w:sz w:val="22"/>
          <w:szCs w:val="22"/>
        </w:rPr>
        <w:t>Email</w:t>
      </w:r>
    </w:p>
    <w:p w14:paraId="13B3F3E1" w14:textId="69EEFD48" w:rsidR="003A35C1" w:rsidRPr="00646F81" w:rsidRDefault="003A35C1" w:rsidP="003A35C1">
      <w:pPr>
        <w:pStyle w:val="NoSpacing"/>
        <w:numPr>
          <w:ilvl w:val="0"/>
          <w:numId w:val="1"/>
        </w:numPr>
        <w:rPr>
          <w:rFonts w:cstheme="minorHAnsi"/>
        </w:rPr>
      </w:pPr>
      <w:r w:rsidRPr="00646F81">
        <w:rPr>
          <w:rFonts w:cstheme="minorHAnsi"/>
        </w:rPr>
        <w:t>Send a Letter of Information (LOI) to participants through email</w:t>
      </w:r>
      <w:r w:rsidR="0018493E" w:rsidRPr="00646F81">
        <w:rPr>
          <w:rFonts w:cstheme="minorHAnsi"/>
        </w:rPr>
        <w:t>.</w:t>
      </w:r>
    </w:p>
    <w:p w14:paraId="2EF31B25" w14:textId="15EEC045" w:rsidR="00DD725B" w:rsidRPr="00DD725B" w:rsidRDefault="003A35C1" w:rsidP="00DD725B">
      <w:pPr>
        <w:pStyle w:val="NoSpacing"/>
        <w:numPr>
          <w:ilvl w:val="0"/>
          <w:numId w:val="1"/>
        </w:numPr>
        <w:rPr>
          <w:rFonts w:cstheme="minorHAnsi"/>
        </w:rPr>
      </w:pPr>
      <w:r w:rsidRPr="00646F81">
        <w:rPr>
          <w:rFonts w:cstheme="minorHAnsi"/>
        </w:rPr>
        <w:t xml:space="preserve">You must include a statement within the email indicating that participants should </w:t>
      </w:r>
      <w:r w:rsidRPr="00646F81">
        <w:rPr>
          <w:rFonts w:cstheme="minorHAnsi"/>
          <w:b/>
          <w:bCs/>
        </w:rPr>
        <w:t>NOT</w:t>
      </w:r>
      <w:r w:rsidRPr="00646F81">
        <w:rPr>
          <w:rFonts w:cstheme="minorHAnsi"/>
        </w:rPr>
        <w:t xml:space="preserve"> return a signed copy through email or email </w:t>
      </w:r>
      <w:r w:rsidR="00FC611E" w:rsidRPr="00646F81">
        <w:rPr>
          <w:rFonts w:cstheme="minorHAnsi"/>
        </w:rPr>
        <w:t>p</w:t>
      </w:r>
      <w:r w:rsidRPr="00646F81">
        <w:rPr>
          <w:rFonts w:cstheme="minorHAnsi"/>
        </w:rPr>
        <w:t xml:space="preserve">ersonal or </w:t>
      </w:r>
      <w:r w:rsidR="00FC611E" w:rsidRPr="00646F81">
        <w:rPr>
          <w:rFonts w:cstheme="minorHAnsi"/>
        </w:rPr>
        <w:t>s</w:t>
      </w:r>
      <w:r w:rsidRPr="00646F81">
        <w:rPr>
          <w:rFonts w:cstheme="minorHAnsi"/>
        </w:rPr>
        <w:t xml:space="preserve">ensitive </w:t>
      </w:r>
      <w:r w:rsidR="00FC611E" w:rsidRPr="00646F81">
        <w:rPr>
          <w:rFonts w:cstheme="minorHAnsi"/>
        </w:rPr>
        <w:t>i</w:t>
      </w:r>
      <w:r w:rsidRPr="00646F81">
        <w:rPr>
          <w:rFonts w:cstheme="minorHAnsi"/>
        </w:rPr>
        <w:t>nformation</w:t>
      </w:r>
      <w:r w:rsidR="0018493E" w:rsidRPr="00646F81">
        <w:rPr>
          <w:rFonts w:cstheme="minorHAnsi"/>
        </w:rPr>
        <w:t>.</w:t>
      </w:r>
    </w:p>
    <w:p w14:paraId="00FA3D56" w14:textId="381D829B" w:rsidR="003A35C1" w:rsidRPr="00646F81" w:rsidRDefault="003A35C1" w:rsidP="003A35C1">
      <w:pPr>
        <w:pStyle w:val="NoSpacing"/>
        <w:numPr>
          <w:ilvl w:val="0"/>
          <w:numId w:val="1"/>
        </w:numPr>
        <w:rPr>
          <w:rFonts w:cstheme="minorHAnsi"/>
        </w:rPr>
      </w:pPr>
      <w:r w:rsidRPr="00646F81">
        <w:rPr>
          <w:rFonts w:cstheme="minorHAnsi"/>
        </w:rPr>
        <w:t xml:space="preserve">You </w:t>
      </w:r>
      <w:r w:rsidR="000C2D5D">
        <w:rPr>
          <w:rFonts w:cstheme="minorHAnsi"/>
        </w:rPr>
        <w:t>should</w:t>
      </w:r>
      <w:r w:rsidRPr="00646F81">
        <w:rPr>
          <w:rFonts w:cstheme="minorHAnsi"/>
        </w:rPr>
        <w:t xml:space="preserve"> use an institutional email address, not a personal email address</w:t>
      </w:r>
      <w:r w:rsidR="0018493E" w:rsidRPr="00646F81">
        <w:rPr>
          <w:rFonts w:cstheme="minorHAnsi"/>
        </w:rPr>
        <w:t>.</w:t>
      </w:r>
    </w:p>
    <w:p w14:paraId="159922EA" w14:textId="331633EA" w:rsidR="009D531C" w:rsidRPr="00646F81" w:rsidRDefault="009D531C" w:rsidP="003D5E4C">
      <w:pPr>
        <w:pStyle w:val="NoSpacing"/>
        <w:numPr>
          <w:ilvl w:val="0"/>
          <w:numId w:val="1"/>
        </w:numPr>
        <w:rPr>
          <w:rFonts w:cstheme="minorHAnsi"/>
        </w:rPr>
      </w:pPr>
      <w:r w:rsidRPr="00646F81">
        <w:rPr>
          <w:rFonts w:cstheme="minorHAnsi"/>
        </w:rPr>
        <w:t>Use</w:t>
      </w:r>
      <w:r w:rsidR="003A35C1" w:rsidRPr="00646F81">
        <w:rPr>
          <w:rFonts w:cstheme="minorHAnsi"/>
        </w:rPr>
        <w:t xml:space="preserve"> an alternative </w:t>
      </w:r>
      <w:r w:rsidR="00800AD9" w:rsidRPr="00646F81">
        <w:rPr>
          <w:rFonts w:cstheme="minorHAnsi"/>
        </w:rPr>
        <w:t>way</w:t>
      </w:r>
      <w:r w:rsidR="003A35C1" w:rsidRPr="00646F81">
        <w:rPr>
          <w:rFonts w:cstheme="minorHAnsi"/>
        </w:rPr>
        <w:t xml:space="preserve"> to obtain informed consent (e.g., verbal, implied, survey response</w:t>
      </w:r>
      <w:r w:rsidR="00800AD9" w:rsidRPr="00646F81">
        <w:rPr>
          <w:rFonts w:cstheme="minorHAnsi"/>
        </w:rPr>
        <w:t>, waiver</w:t>
      </w:r>
      <w:r w:rsidR="0018493E" w:rsidRPr="00646F81">
        <w:rPr>
          <w:rFonts w:cstheme="minorHAnsi"/>
        </w:rPr>
        <w:t>).</w:t>
      </w:r>
    </w:p>
    <w:p w14:paraId="3DDA8AF3" w14:textId="77777777" w:rsidR="00DD725B" w:rsidRPr="00646F81" w:rsidRDefault="00DD725B" w:rsidP="00DD725B">
      <w:pPr>
        <w:pStyle w:val="NoSpacing"/>
        <w:numPr>
          <w:ilvl w:val="1"/>
          <w:numId w:val="1"/>
        </w:numPr>
        <w:rPr>
          <w:rFonts w:cstheme="minorHAnsi"/>
        </w:rPr>
      </w:pPr>
      <w:r>
        <w:rPr>
          <w:rFonts w:cstheme="minorHAnsi"/>
        </w:rPr>
        <w:t xml:space="preserve">If you are using an alternative way to obtain informed consent </w:t>
      </w:r>
      <w:r w:rsidRPr="00DD725B">
        <w:rPr>
          <w:rFonts w:cstheme="minorHAnsi"/>
        </w:rPr>
        <w:t>(e.g., verbal, implied, survey response, waiver)</w:t>
      </w:r>
      <w:r>
        <w:rPr>
          <w:rFonts w:cstheme="minorHAnsi"/>
        </w:rPr>
        <w:t>, ensure your LOI reflects that (i.e., remove signature blocks)</w:t>
      </w:r>
    </w:p>
    <w:p w14:paraId="07CD4A99" w14:textId="3501CBA0" w:rsidR="009D531C" w:rsidRPr="00646F81" w:rsidRDefault="009D531C" w:rsidP="0018493E">
      <w:pPr>
        <w:pStyle w:val="NoSpacing"/>
        <w:numPr>
          <w:ilvl w:val="1"/>
          <w:numId w:val="1"/>
        </w:numPr>
        <w:rPr>
          <w:rFonts w:cstheme="minorHAnsi"/>
        </w:rPr>
      </w:pPr>
      <w:r w:rsidRPr="00646F81">
        <w:rPr>
          <w:rFonts w:cstheme="minorHAnsi"/>
          <w:b/>
        </w:rPr>
        <w:t>We prefer that participants do not return signed consent forms through email</w:t>
      </w:r>
      <w:r w:rsidRPr="00646F81">
        <w:rPr>
          <w:rFonts w:cstheme="minorHAnsi"/>
        </w:rPr>
        <w:t xml:space="preserve"> as this can be an added burden to participants due to the extra security steps required. One of the alternative options </w:t>
      </w:r>
      <w:r w:rsidR="00FC611E" w:rsidRPr="00646F81">
        <w:rPr>
          <w:rFonts w:cstheme="minorHAnsi"/>
        </w:rPr>
        <w:t xml:space="preserve">below is </w:t>
      </w:r>
      <w:r w:rsidRPr="00646F81">
        <w:rPr>
          <w:rFonts w:cstheme="minorHAnsi"/>
        </w:rPr>
        <w:t>preferred.</w:t>
      </w:r>
    </w:p>
    <w:p w14:paraId="69B3739F" w14:textId="71C52319" w:rsidR="009D531C" w:rsidRPr="00646F81" w:rsidRDefault="009D531C" w:rsidP="0018493E">
      <w:pPr>
        <w:pStyle w:val="NoSpacing"/>
        <w:numPr>
          <w:ilvl w:val="1"/>
          <w:numId w:val="1"/>
        </w:numPr>
        <w:rPr>
          <w:rFonts w:cstheme="minorHAnsi"/>
        </w:rPr>
      </w:pPr>
      <w:r w:rsidRPr="00646F81">
        <w:rPr>
          <w:rFonts w:cstheme="minorHAnsi"/>
        </w:rPr>
        <w:t xml:space="preserve">If you plan to use this </w:t>
      </w:r>
      <w:r w:rsidR="00FC611E" w:rsidRPr="00646F81">
        <w:rPr>
          <w:rFonts w:cstheme="minorHAnsi"/>
        </w:rPr>
        <w:t>method,</w:t>
      </w:r>
      <w:r w:rsidRPr="00646F81">
        <w:rPr>
          <w:rFonts w:cstheme="minorHAnsi"/>
        </w:rPr>
        <w:t xml:space="preserve"> you must detail the secure file transfer process and directions that participants will be given</w:t>
      </w:r>
    </w:p>
    <w:p w14:paraId="246782C4" w14:textId="7CE7AF42" w:rsidR="009D531C" w:rsidRPr="00646F81" w:rsidRDefault="009D531C" w:rsidP="0018493E">
      <w:pPr>
        <w:pStyle w:val="NoSpacing"/>
        <w:numPr>
          <w:ilvl w:val="1"/>
          <w:numId w:val="3"/>
        </w:numPr>
        <w:ind w:left="1800"/>
        <w:rPr>
          <w:rFonts w:cstheme="minorHAnsi"/>
        </w:rPr>
      </w:pPr>
      <w:r w:rsidRPr="00646F81">
        <w:rPr>
          <w:rFonts w:cstheme="minorHAnsi"/>
        </w:rPr>
        <w:t>Participants must encrypt their signed consent form with a password</w:t>
      </w:r>
      <w:r w:rsidR="0018493E" w:rsidRPr="00646F81">
        <w:rPr>
          <w:rFonts w:cstheme="minorHAnsi"/>
        </w:rPr>
        <w:t>.</w:t>
      </w:r>
    </w:p>
    <w:p w14:paraId="40E779CD" w14:textId="00946E4D" w:rsidR="009D531C" w:rsidRPr="00646F81" w:rsidRDefault="009D531C" w:rsidP="0018493E">
      <w:pPr>
        <w:pStyle w:val="NoSpacing"/>
        <w:numPr>
          <w:ilvl w:val="1"/>
          <w:numId w:val="3"/>
        </w:numPr>
        <w:ind w:left="1800"/>
        <w:rPr>
          <w:rFonts w:cstheme="minorHAnsi"/>
        </w:rPr>
      </w:pPr>
      <w:r w:rsidRPr="00646F81">
        <w:rPr>
          <w:rFonts w:cstheme="minorHAnsi"/>
        </w:rPr>
        <w:t>The password to the encrypted document must be sent in a separate email, with a subject line that does not indicate that it contains the password.</w:t>
      </w:r>
    </w:p>
    <w:p w14:paraId="1B0FAB31" w14:textId="44462837" w:rsidR="003A35C1" w:rsidRPr="00646F81" w:rsidRDefault="003A35C1" w:rsidP="0018493E">
      <w:pPr>
        <w:pStyle w:val="NoSpacing"/>
        <w:ind w:left="1800"/>
        <w:rPr>
          <w:rFonts w:cstheme="minorHAnsi"/>
        </w:rPr>
      </w:pPr>
    </w:p>
    <w:p w14:paraId="43272AF4" w14:textId="4B096D5D" w:rsidR="003A35C1" w:rsidRPr="00CA22A3" w:rsidRDefault="00CA22A3" w:rsidP="002A069D">
      <w:pPr>
        <w:pStyle w:val="Heading3"/>
        <w:numPr>
          <w:ilvl w:val="0"/>
          <w:numId w:val="14"/>
        </w:numPr>
        <w:ind w:left="270" w:hanging="270"/>
        <w:rPr>
          <w:rFonts w:asciiTheme="minorHAnsi" w:hAnsiTheme="minorHAnsi" w:cstheme="minorHAnsi"/>
          <w:b/>
          <w:bCs/>
          <w:color w:val="auto"/>
          <w:sz w:val="22"/>
          <w:szCs w:val="22"/>
        </w:rPr>
      </w:pPr>
      <w:r w:rsidRPr="00CA22A3">
        <w:rPr>
          <w:rFonts w:asciiTheme="minorHAnsi" w:hAnsiTheme="minorHAnsi" w:cstheme="minorHAnsi"/>
          <w:b/>
          <w:color w:val="auto"/>
          <w:sz w:val="22"/>
          <w:szCs w:val="22"/>
        </w:rPr>
        <w:t xml:space="preserve">Queen’s </w:t>
      </w:r>
      <w:hyperlink r:id="rId11" w:history="1">
        <w:r w:rsidR="003A35C1" w:rsidRPr="00CA22A3">
          <w:rPr>
            <w:rStyle w:val="Hyperlink"/>
            <w:rFonts w:asciiTheme="minorHAnsi" w:hAnsiTheme="minorHAnsi" w:cstheme="minorHAnsi"/>
            <w:b/>
            <w:bCs/>
            <w:color w:val="auto"/>
            <w:sz w:val="22"/>
            <w:szCs w:val="22"/>
          </w:rPr>
          <w:t>OneDrive</w:t>
        </w:r>
      </w:hyperlink>
      <w:r w:rsidR="003A35C1" w:rsidRPr="00CA22A3">
        <w:rPr>
          <w:rFonts w:asciiTheme="minorHAnsi" w:hAnsiTheme="minorHAnsi" w:cstheme="minorHAnsi"/>
          <w:b/>
          <w:bCs/>
          <w:color w:val="auto"/>
          <w:sz w:val="22"/>
          <w:szCs w:val="22"/>
        </w:rPr>
        <w:t xml:space="preserve"> for Business</w:t>
      </w:r>
    </w:p>
    <w:p w14:paraId="3F339B3B" w14:textId="281612BC" w:rsidR="009D531C" w:rsidRPr="00646F81" w:rsidRDefault="003A35C1" w:rsidP="0018493E">
      <w:pPr>
        <w:pStyle w:val="NoSpacing"/>
        <w:numPr>
          <w:ilvl w:val="0"/>
          <w:numId w:val="1"/>
        </w:numPr>
        <w:rPr>
          <w:rFonts w:cstheme="minorHAnsi"/>
        </w:rPr>
      </w:pPr>
      <w:r w:rsidRPr="00646F81">
        <w:rPr>
          <w:rFonts w:cstheme="minorHAnsi"/>
        </w:rPr>
        <w:t>Create a folder where the</w:t>
      </w:r>
      <w:r w:rsidR="00554858" w:rsidRPr="00646F81">
        <w:rPr>
          <w:rFonts w:cstheme="minorHAnsi"/>
        </w:rPr>
        <w:t xml:space="preserve"> LOI/CF is available for view</w:t>
      </w:r>
      <w:r w:rsidRPr="00646F81">
        <w:rPr>
          <w:rFonts w:cstheme="minorHAnsi"/>
        </w:rPr>
        <w:t>/download/upload</w:t>
      </w:r>
      <w:r w:rsidR="0018493E" w:rsidRPr="00646F81">
        <w:rPr>
          <w:rFonts w:cstheme="minorHAnsi"/>
        </w:rPr>
        <w:t>.</w:t>
      </w:r>
    </w:p>
    <w:p w14:paraId="11A4400C" w14:textId="357E69D1" w:rsidR="009D531C" w:rsidRPr="00646F81" w:rsidRDefault="009D531C">
      <w:pPr>
        <w:pStyle w:val="NoSpacing"/>
        <w:numPr>
          <w:ilvl w:val="0"/>
          <w:numId w:val="1"/>
        </w:numPr>
        <w:spacing w:after="160"/>
        <w:rPr>
          <w:rFonts w:cstheme="minorHAnsi"/>
        </w:rPr>
      </w:pPr>
      <w:r w:rsidRPr="00646F81">
        <w:rPr>
          <w:rFonts w:cstheme="minorHAnsi"/>
        </w:rPr>
        <w:t xml:space="preserve">If this is a </w:t>
      </w:r>
      <w:r w:rsidR="009F6166" w:rsidRPr="00646F81">
        <w:rPr>
          <w:rFonts w:cstheme="minorHAnsi"/>
        </w:rPr>
        <w:t xml:space="preserve">secure </w:t>
      </w:r>
      <w:r w:rsidRPr="00646F81">
        <w:rPr>
          <w:rFonts w:cstheme="minorHAnsi"/>
        </w:rPr>
        <w:t xml:space="preserve">private folder, the participant could enter their name and date </w:t>
      </w:r>
      <w:r w:rsidR="009F6166" w:rsidRPr="00646F81">
        <w:rPr>
          <w:rFonts w:cstheme="minorHAnsi"/>
        </w:rPr>
        <w:t>indicating</w:t>
      </w:r>
      <w:r w:rsidRPr="00646F81">
        <w:rPr>
          <w:rFonts w:cstheme="minorHAnsi"/>
        </w:rPr>
        <w:t xml:space="preserve"> consent or upload their</w:t>
      </w:r>
      <w:r w:rsidR="009F6166" w:rsidRPr="00646F81">
        <w:rPr>
          <w:rFonts w:cstheme="minorHAnsi"/>
        </w:rPr>
        <w:t xml:space="preserve"> signed version to this secure location </w:t>
      </w:r>
      <w:r w:rsidR="009F6166" w:rsidRPr="00646F81">
        <w:rPr>
          <w:rFonts w:cstheme="minorHAnsi"/>
          <w:b/>
        </w:rPr>
        <w:t xml:space="preserve">OR </w:t>
      </w:r>
      <w:r w:rsidR="009F6166" w:rsidRPr="00646F81">
        <w:rPr>
          <w:rFonts w:cstheme="minorHAnsi"/>
        </w:rPr>
        <w:t>u</w:t>
      </w:r>
      <w:r w:rsidRPr="00646F81">
        <w:rPr>
          <w:rFonts w:cstheme="minorHAnsi"/>
        </w:rPr>
        <w:t>se an alternative way to obtain informed consent (e.g., verbal, im</w:t>
      </w:r>
      <w:r w:rsidR="0018493E" w:rsidRPr="00646F81">
        <w:rPr>
          <w:rFonts w:cstheme="minorHAnsi"/>
        </w:rPr>
        <w:t>plied, survey response, waiver).</w:t>
      </w:r>
    </w:p>
    <w:p w14:paraId="49F71ED2" w14:textId="36E667B0" w:rsidR="003A35C1" w:rsidRPr="00646F81" w:rsidRDefault="003A35C1" w:rsidP="002A069D">
      <w:pPr>
        <w:pStyle w:val="Heading3"/>
        <w:numPr>
          <w:ilvl w:val="0"/>
          <w:numId w:val="14"/>
        </w:numPr>
        <w:ind w:left="270" w:hanging="270"/>
        <w:rPr>
          <w:rFonts w:asciiTheme="minorHAnsi" w:hAnsiTheme="minorHAnsi" w:cstheme="minorHAnsi"/>
          <w:b/>
          <w:bCs/>
          <w:color w:val="000000" w:themeColor="text1"/>
          <w:sz w:val="22"/>
          <w:szCs w:val="22"/>
        </w:rPr>
      </w:pPr>
      <w:r w:rsidRPr="00646F81">
        <w:rPr>
          <w:rFonts w:asciiTheme="minorHAnsi" w:hAnsiTheme="minorHAnsi" w:cstheme="minorHAnsi"/>
          <w:b/>
          <w:bCs/>
          <w:color w:val="000000" w:themeColor="text1"/>
          <w:sz w:val="22"/>
          <w:szCs w:val="22"/>
        </w:rPr>
        <w:t>Webpage</w:t>
      </w:r>
    </w:p>
    <w:p w14:paraId="76BD420D" w14:textId="4353E768" w:rsidR="003A35C1" w:rsidRPr="00646F81" w:rsidRDefault="003A35C1" w:rsidP="006510D8">
      <w:pPr>
        <w:pStyle w:val="NoSpacing"/>
        <w:numPr>
          <w:ilvl w:val="0"/>
          <w:numId w:val="1"/>
        </w:numPr>
        <w:spacing w:after="160"/>
        <w:rPr>
          <w:rFonts w:cstheme="minorHAnsi"/>
        </w:rPr>
      </w:pPr>
      <w:r w:rsidRPr="00646F81">
        <w:rPr>
          <w:rFonts w:cstheme="minorHAnsi"/>
        </w:rPr>
        <w:t xml:space="preserve">Create a secure webpage for the research study where participants </w:t>
      </w:r>
      <w:r w:rsidR="61EECF23" w:rsidRPr="00646F81">
        <w:rPr>
          <w:rFonts w:cstheme="minorHAnsi"/>
        </w:rPr>
        <w:t>can</w:t>
      </w:r>
      <w:r w:rsidRPr="00646F81">
        <w:rPr>
          <w:rFonts w:cstheme="minorHAnsi"/>
        </w:rPr>
        <w:t xml:space="preserve"> view</w:t>
      </w:r>
      <w:r w:rsidR="00FC611E" w:rsidRPr="00646F81">
        <w:rPr>
          <w:rFonts w:cstheme="minorHAnsi"/>
        </w:rPr>
        <w:t xml:space="preserve"> and/or </w:t>
      </w:r>
      <w:r w:rsidRPr="00646F81">
        <w:rPr>
          <w:rFonts w:cstheme="minorHAnsi"/>
        </w:rPr>
        <w:t xml:space="preserve">download a blank </w:t>
      </w:r>
      <w:r w:rsidR="00FC611E" w:rsidRPr="00646F81">
        <w:rPr>
          <w:rFonts w:cstheme="minorHAnsi"/>
        </w:rPr>
        <w:t>version</w:t>
      </w:r>
      <w:r w:rsidRPr="00646F81">
        <w:rPr>
          <w:rFonts w:cstheme="minorHAnsi"/>
        </w:rPr>
        <w:t xml:space="preserve"> of the L</w:t>
      </w:r>
      <w:r w:rsidR="6C74FBD0" w:rsidRPr="00646F81">
        <w:rPr>
          <w:rFonts w:cstheme="minorHAnsi"/>
        </w:rPr>
        <w:t>OI</w:t>
      </w:r>
      <w:r w:rsidRPr="00646F81">
        <w:rPr>
          <w:rFonts w:cstheme="minorHAnsi"/>
        </w:rPr>
        <w:t xml:space="preserve">. </w:t>
      </w:r>
      <w:r w:rsidR="00800AD9" w:rsidRPr="00646F81">
        <w:rPr>
          <w:rFonts w:cstheme="minorHAnsi"/>
        </w:rPr>
        <w:t>You must find an alternative way to obtain informed consent (e.g., verbal, implied, survey response, waiver</w:t>
      </w:r>
      <w:r w:rsidR="0018493E" w:rsidRPr="00646F81">
        <w:rPr>
          <w:rFonts w:cstheme="minorHAnsi"/>
        </w:rPr>
        <w:t>).</w:t>
      </w:r>
    </w:p>
    <w:p w14:paraId="559BE222" w14:textId="7CF89267" w:rsidR="003A35C1" w:rsidRPr="00646F81" w:rsidRDefault="003A35C1" w:rsidP="002A069D">
      <w:pPr>
        <w:pStyle w:val="Heading3"/>
        <w:numPr>
          <w:ilvl w:val="0"/>
          <w:numId w:val="14"/>
        </w:numPr>
        <w:ind w:left="270" w:hanging="270"/>
        <w:rPr>
          <w:rFonts w:asciiTheme="minorHAnsi" w:hAnsiTheme="minorHAnsi" w:cstheme="minorHAnsi"/>
          <w:b/>
          <w:bCs/>
          <w:color w:val="000000" w:themeColor="text1"/>
          <w:sz w:val="22"/>
          <w:szCs w:val="22"/>
        </w:rPr>
      </w:pPr>
      <w:r w:rsidRPr="00646F81">
        <w:rPr>
          <w:rFonts w:asciiTheme="minorHAnsi" w:hAnsiTheme="minorHAnsi" w:cstheme="minorHAnsi"/>
          <w:b/>
          <w:bCs/>
          <w:color w:val="000000" w:themeColor="text1"/>
          <w:sz w:val="22"/>
          <w:szCs w:val="22"/>
        </w:rPr>
        <w:t xml:space="preserve">Survey using </w:t>
      </w:r>
      <w:hyperlink r:id="rId12">
        <w:proofErr w:type="spellStart"/>
        <w:r w:rsidRPr="00646F81">
          <w:rPr>
            <w:rStyle w:val="Hyperlink"/>
            <w:rFonts w:asciiTheme="minorHAnsi" w:hAnsiTheme="minorHAnsi" w:cstheme="minorHAnsi"/>
            <w:b/>
            <w:bCs/>
            <w:sz w:val="22"/>
            <w:szCs w:val="22"/>
          </w:rPr>
          <w:t>Qualtrics</w:t>
        </w:r>
        <w:proofErr w:type="spellEnd"/>
      </w:hyperlink>
      <w:r w:rsidR="02EC1E24" w:rsidRPr="00646F81">
        <w:rPr>
          <w:rFonts w:asciiTheme="minorHAnsi" w:hAnsiTheme="minorHAnsi" w:cstheme="minorHAnsi"/>
          <w:b/>
          <w:bCs/>
          <w:sz w:val="22"/>
          <w:szCs w:val="22"/>
        </w:rPr>
        <w:t xml:space="preserve"> </w:t>
      </w:r>
      <w:r w:rsidR="02EC1E24" w:rsidRPr="00646F81">
        <w:rPr>
          <w:rFonts w:asciiTheme="minorHAnsi" w:hAnsiTheme="minorHAnsi" w:cstheme="minorHAnsi"/>
          <w:b/>
          <w:bCs/>
          <w:color w:val="000000" w:themeColor="text1"/>
          <w:sz w:val="22"/>
          <w:szCs w:val="22"/>
        </w:rPr>
        <w:t xml:space="preserve">(Queen’s preferred survey platform) </w:t>
      </w:r>
    </w:p>
    <w:p w14:paraId="583F2477" w14:textId="54C9682C" w:rsidR="003A35C1" w:rsidRPr="00646F81" w:rsidRDefault="003A35C1" w:rsidP="003A35C1">
      <w:pPr>
        <w:pStyle w:val="NoSpacing"/>
        <w:numPr>
          <w:ilvl w:val="0"/>
          <w:numId w:val="1"/>
        </w:numPr>
        <w:rPr>
          <w:rFonts w:cstheme="minorHAnsi"/>
        </w:rPr>
      </w:pPr>
      <w:r w:rsidRPr="00646F81">
        <w:rPr>
          <w:rFonts w:cstheme="minorHAnsi"/>
        </w:rPr>
        <w:t>Provide a link to access the LOI online at the start of a survey</w:t>
      </w:r>
      <w:r w:rsidR="0018493E" w:rsidRPr="00646F81">
        <w:rPr>
          <w:rFonts w:cstheme="minorHAnsi"/>
        </w:rPr>
        <w:t>.</w:t>
      </w:r>
      <w:r w:rsidRPr="00646F81">
        <w:rPr>
          <w:rFonts w:cstheme="minorHAnsi"/>
        </w:rPr>
        <w:t xml:space="preserve"> </w:t>
      </w:r>
    </w:p>
    <w:p w14:paraId="1C5DCBA4" w14:textId="0C264A5B" w:rsidR="00800AD9" w:rsidRPr="00646F81" w:rsidRDefault="003A35C1" w:rsidP="0018493E">
      <w:pPr>
        <w:pStyle w:val="NoSpacing"/>
        <w:numPr>
          <w:ilvl w:val="0"/>
          <w:numId w:val="1"/>
        </w:numPr>
        <w:spacing w:after="240"/>
        <w:rPr>
          <w:rFonts w:cstheme="minorHAnsi"/>
        </w:rPr>
      </w:pPr>
      <w:r w:rsidRPr="00646F81">
        <w:rPr>
          <w:rFonts w:cstheme="minorHAnsi"/>
        </w:rPr>
        <w:t xml:space="preserve">Obtain consent as the response to question #1 </w:t>
      </w:r>
      <w:r w:rsidRPr="00646F81">
        <w:rPr>
          <w:rFonts w:cstheme="minorHAnsi"/>
          <w:b/>
        </w:rPr>
        <w:t>OR</w:t>
      </w:r>
      <w:r w:rsidRPr="00646F81">
        <w:rPr>
          <w:rFonts w:cstheme="minorHAnsi"/>
        </w:rPr>
        <w:t xml:space="preserve"> the LOI explains the completion of the survey implies consent</w:t>
      </w:r>
      <w:r w:rsidR="0018493E" w:rsidRPr="00646F81">
        <w:rPr>
          <w:rFonts w:cstheme="minorHAnsi"/>
        </w:rPr>
        <w:t>.</w:t>
      </w:r>
    </w:p>
    <w:p w14:paraId="4A0250EC" w14:textId="2AEE976A" w:rsidR="003A35C1" w:rsidRPr="00646F81" w:rsidRDefault="003A35C1" w:rsidP="00646F81">
      <w:pPr>
        <w:pStyle w:val="Heading3"/>
        <w:numPr>
          <w:ilvl w:val="0"/>
          <w:numId w:val="14"/>
        </w:numPr>
        <w:spacing w:before="0"/>
        <w:ind w:left="270" w:hanging="270"/>
        <w:rPr>
          <w:rFonts w:asciiTheme="minorHAnsi" w:hAnsiTheme="minorHAnsi" w:cstheme="minorHAnsi"/>
          <w:b/>
          <w:bCs/>
          <w:color w:val="000000" w:themeColor="text1"/>
          <w:sz w:val="22"/>
          <w:szCs w:val="22"/>
        </w:rPr>
      </w:pPr>
      <w:r w:rsidRPr="00646F81">
        <w:rPr>
          <w:rFonts w:asciiTheme="minorHAnsi" w:hAnsiTheme="minorHAnsi" w:cstheme="minorHAnsi"/>
          <w:b/>
          <w:bCs/>
          <w:color w:val="000000" w:themeColor="text1"/>
          <w:sz w:val="22"/>
          <w:szCs w:val="22"/>
        </w:rPr>
        <w:t xml:space="preserve">Through your </w:t>
      </w:r>
      <w:r w:rsidR="00800AD9" w:rsidRPr="00646F81">
        <w:rPr>
          <w:rFonts w:asciiTheme="minorHAnsi" w:hAnsiTheme="minorHAnsi" w:cstheme="minorHAnsi"/>
          <w:b/>
          <w:bCs/>
          <w:color w:val="000000" w:themeColor="text1"/>
          <w:sz w:val="22"/>
          <w:szCs w:val="22"/>
        </w:rPr>
        <w:t>R</w:t>
      </w:r>
      <w:r w:rsidRPr="00646F81">
        <w:rPr>
          <w:rFonts w:asciiTheme="minorHAnsi" w:hAnsiTheme="minorHAnsi" w:cstheme="minorHAnsi"/>
          <w:b/>
          <w:bCs/>
          <w:color w:val="000000" w:themeColor="text1"/>
          <w:sz w:val="22"/>
          <w:szCs w:val="22"/>
        </w:rPr>
        <w:t xml:space="preserve">ecruitment </w:t>
      </w:r>
      <w:r w:rsidR="00800AD9" w:rsidRPr="00646F81">
        <w:rPr>
          <w:rFonts w:asciiTheme="minorHAnsi" w:hAnsiTheme="minorHAnsi" w:cstheme="minorHAnsi"/>
          <w:b/>
          <w:bCs/>
          <w:color w:val="000000" w:themeColor="text1"/>
          <w:sz w:val="22"/>
          <w:szCs w:val="22"/>
        </w:rPr>
        <w:t>M</w:t>
      </w:r>
      <w:r w:rsidRPr="00646F81">
        <w:rPr>
          <w:rFonts w:asciiTheme="minorHAnsi" w:hAnsiTheme="minorHAnsi" w:cstheme="minorHAnsi"/>
          <w:b/>
          <w:bCs/>
          <w:color w:val="000000" w:themeColor="text1"/>
          <w:sz w:val="22"/>
          <w:szCs w:val="22"/>
        </w:rPr>
        <w:t>aterial</w:t>
      </w:r>
    </w:p>
    <w:p w14:paraId="118B7DC7" w14:textId="12C824BC" w:rsidR="0037704B" w:rsidRPr="00646F81" w:rsidRDefault="001E6A88" w:rsidP="0037704B">
      <w:pPr>
        <w:pStyle w:val="NoSpacing"/>
        <w:numPr>
          <w:ilvl w:val="0"/>
          <w:numId w:val="1"/>
        </w:numPr>
        <w:spacing w:after="160"/>
        <w:rPr>
          <w:rFonts w:cstheme="minorHAnsi"/>
        </w:rPr>
      </w:pPr>
      <w:r w:rsidRPr="00646F81">
        <w:rPr>
          <w:rFonts w:cstheme="minorHAnsi"/>
        </w:rPr>
        <w:t>Participants</w:t>
      </w:r>
      <w:r w:rsidR="003A35C1" w:rsidRPr="00646F81">
        <w:rPr>
          <w:rFonts w:cstheme="minorHAnsi"/>
        </w:rPr>
        <w:t xml:space="preserve"> </w:t>
      </w:r>
      <w:r w:rsidR="00FC611E" w:rsidRPr="00646F81">
        <w:rPr>
          <w:rFonts w:cstheme="minorHAnsi"/>
        </w:rPr>
        <w:t>can</w:t>
      </w:r>
      <w:r w:rsidR="003A35C1" w:rsidRPr="00646F81">
        <w:rPr>
          <w:rFonts w:cstheme="minorHAnsi"/>
        </w:rPr>
        <w:t xml:space="preserve"> click on a link in the recruitment information (</w:t>
      </w:r>
      <w:r w:rsidR="00800AD9" w:rsidRPr="00646F81">
        <w:rPr>
          <w:rFonts w:cstheme="minorHAnsi"/>
        </w:rPr>
        <w:t>e.g.,</w:t>
      </w:r>
      <w:r w:rsidR="003A35C1" w:rsidRPr="00646F81">
        <w:rPr>
          <w:rFonts w:cstheme="minorHAnsi"/>
        </w:rPr>
        <w:t xml:space="preserve"> recruitmen</w:t>
      </w:r>
      <w:r w:rsidR="00554858" w:rsidRPr="00646F81">
        <w:rPr>
          <w:rFonts w:cstheme="minorHAnsi"/>
        </w:rPr>
        <w:t>t email, Facebook link, Twitter</w:t>
      </w:r>
      <w:r w:rsidR="0018493E" w:rsidRPr="00646F81">
        <w:rPr>
          <w:rFonts w:cstheme="minorHAnsi"/>
        </w:rPr>
        <w:t xml:space="preserve">, etc.). </w:t>
      </w:r>
      <w:r w:rsidR="009B519B" w:rsidRPr="00646F81">
        <w:rPr>
          <w:rFonts w:cstheme="minorHAnsi"/>
        </w:rPr>
        <w:t>You must find an alternative way to obtain informed consent (e.g., verbal, i</w:t>
      </w:r>
      <w:r w:rsidR="0037704B" w:rsidRPr="00646F81">
        <w:rPr>
          <w:rFonts w:cstheme="minorHAnsi"/>
        </w:rPr>
        <w:t>mplied, survey response, waiver)</w:t>
      </w:r>
      <w:r w:rsidR="000C2D5D">
        <w:rPr>
          <w:rFonts w:cstheme="minorHAnsi"/>
        </w:rPr>
        <w:t>.</w:t>
      </w:r>
    </w:p>
    <w:p w14:paraId="1FFF7E3B" w14:textId="01B21C7A" w:rsidR="0037704B" w:rsidRPr="00646F81" w:rsidRDefault="009B519B" w:rsidP="00646F81">
      <w:pPr>
        <w:pStyle w:val="Heading3"/>
        <w:numPr>
          <w:ilvl w:val="0"/>
          <w:numId w:val="14"/>
        </w:numPr>
        <w:spacing w:before="0"/>
        <w:ind w:left="270" w:hanging="270"/>
        <w:rPr>
          <w:rFonts w:asciiTheme="minorHAnsi" w:hAnsiTheme="minorHAnsi" w:cstheme="minorHAnsi"/>
          <w:b/>
          <w:bCs/>
          <w:color w:val="000000" w:themeColor="text1"/>
          <w:sz w:val="22"/>
          <w:szCs w:val="22"/>
        </w:rPr>
      </w:pPr>
      <w:r w:rsidRPr="00646F81">
        <w:rPr>
          <w:rFonts w:asciiTheme="minorHAnsi" w:hAnsiTheme="minorHAnsi" w:cstheme="minorHAnsi"/>
          <w:sz w:val="22"/>
          <w:szCs w:val="22"/>
        </w:rPr>
        <w:t xml:space="preserve"> </w:t>
      </w:r>
      <w:r w:rsidR="0037704B" w:rsidRPr="00646F81">
        <w:rPr>
          <w:rFonts w:asciiTheme="minorHAnsi" w:hAnsiTheme="minorHAnsi" w:cstheme="minorHAnsi"/>
          <w:b/>
          <w:bCs/>
          <w:color w:val="000000" w:themeColor="text1"/>
          <w:sz w:val="22"/>
          <w:szCs w:val="22"/>
        </w:rPr>
        <w:t>Verbal Consent</w:t>
      </w:r>
    </w:p>
    <w:p w14:paraId="663333E7" w14:textId="4DC57D9A" w:rsidR="0037704B" w:rsidRPr="00646F81" w:rsidRDefault="00761DAE" w:rsidP="00E81262">
      <w:pPr>
        <w:pStyle w:val="ListParagraph"/>
        <w:numPr>
          <w:ilvl w:val="0"/>
          <w:numId w:val="1"/>
        </w:numPr>
        <w:rPr>
          <w:rFonts w:cstheme="minorHAnsi"/>
        </w:rPr>
      </w:pPr>
      <w:r w:rsidRPr="00646F81">
        <w:rPr>
          <w:rFonts w:cstheme="minorHAnsi"/>
        </w:rPr>
        <w:t xml:space="preserve">If you will be using verbal consent (e.g., through a telephone call or virtual meeting), ensure that you attach a </w:t>
      </w:r>
      <w:hyperlink r:id="rId13" w:history="1">
        <w:r w:rsidRPr="00646F81">
          <w:rPr>
            <w:rStyle w:val="Hyperlink"/>
            <w:rFonts w:cstheme="minorHAnsi"/>
          </w:rPr>
          <w:t xml:space="preserve">verbal consent </w:t>
        </w:r>
        <w:r w:rsidR="00646F81" w:rsidRPr="00646F81">
          <w:rPr>
            <w:rStyle w:val="Hyperlink"/>
            <w:rFonts w:cstheme="minorHAnsi"/>
          </w:rPr>
          <w:t>LOI</w:t>
        </w:r>
      </w:hyperlink>
      <w:r w:rsidRPr="00646F81">
        <w:rPr>
          <w:rFonts w:cstheme="minorHAnsi"/>
        </w:rPr>
        <w:t xml:space="preserve"> and </w:t>
      </w:r>
      <w:hyperlink r:id="rId14" w:history="1">
        <w:r w:rsidRPr="00646F81">
          <w:rPr>
            <w:rStyle w:val="Hyperlink"/>
            <w:rFonts w:cstheme="minorHAnsi"/>
          </w:rPr>
          <w:t>verbal consent log</w:t>
        </w:r>
      </w:hyperlink>
      <w:r w:rsidRPr="00646F81">
        <w:rPr>
          <w:rFonts w:cstheme="minorHAnsi"/>
        </w:rPr>
        <w:t xml:space="preserve"> to your ethics application OR indicate how you will be capturing this information (e.g., use of audio/video recording). </w:t>
      </w:r>
    </w:p>
    <w:p w14:paraId="49848098" w14:textId="44CF6AA3" w:rsidR="003A35C1" w:rsidRPr="00646F81" w:rsidRDefault="003A35C1" w:rsidP="003A35C1">
      <w:pPr>
        <w:pStyle w:val="Heading2"/>
        <w:rPr>
          <w:rFonts w:asciiTheme="minorHAnsi" w:hAnsiTheme="minorHAnsi" w:cstheme="minorHAnsi"/>
          <w:b/>
          <w:color w:val="auto"/>
          <w:sz w:val="22"/>
          <w:szCs w:val="22"/>
        </w:rPr>
      </w:pPr>
      <w:bookmarkStart w:id="6" w:name="_bookmark1"/>
      <w:bookmarkStart w:id="7" w:name="Obtaining_Active_Consent"/>
      <w:bookmarkStart w:id="8" w:name="Virtual_Platforms"/>
      <w:bookmarkStart w:id="9" w:name="_Virtual_Platforms"/>
      <w:bookmarkEnd w:id="6"/>
      <w:bookmarkEnd w:id="7"/>
      <w:bookmarkEnd w:id="8"/>
      <w:bookmarkEnd w:id="9"/>
      <w:r w:rsidRPr="00646F81">
        <w:rPr>
          <w:rFonts w:asciiTheme="minorHAnsi" w:hAnsiTheme="minorHAnsi" w:cstheme="minorHAnsi"/>
          <w:b/>
          <w:color w:val="auto"/>
          <w:sz w:val="22"/>
          <w:szCs w:val="22"/>
        </w:rPr>
        <w:t>Virtual Platforms</w:t>
      </w:r>
    </w:p>
    <w:p w14:paraId="7B463164" w14:textId="4D9DD0AB" w:rsidR="003A35C1" w:rsidRPr="00646F81" w:rsidRDefault="003A35C1" w:rsidP="003A35C1">
      <w:pPr>
        <w:pStyle w:val="NoSpacing"/>
        <w:rPr>
          <w:rFonts w:cstheme="minorHAnsi"/>
        </w:rPr>
      </w:pPr>
    </w:p>
    <w:p w14:paraId="3A5B1A25" w14:textId="0414378F" w:rsidR="003A35C1" w:rsidRPr="00646F81" w:rsidRDefault="00773A0E" w:rsidP="00CD4EE6">
      <w:pPr>
        <w:pStyle w:val="Heading3"/>
        <w:numPr>
          <w:ilvl w:val="0"/>
          <w:numId w:val="13"/>
        </w:numP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Queen’s </w:t>
      </w:r>
      <w:r w:rsidR="003A35C1" w:rsidRPr="00646F81">
        <w:rPr>
          <w:rFonts w:asciiTheme="minorHAnsi" w:hAnsiTheme="minorHAnsi" w:cstheme="minorHAnsi"/>
          <w:b/>
          <w:bCs/>
          <w:color w:val="auto"/>
          <w:sz w:val="22"/>
          <w:szCs w:val="22"/>
        </w:rPr>
        <w:t>Microsoft Teams</w:t>
      </w:r>
    </w:p>
    <w:p w14:paraId="4373C0D1" w14:textId="0AACB31C" w:rsidR="003A35C1" w:rsidRPr="00646F81" w:rsidRDefault="00F63D16" w:rsidP="003A35C1">
      <w:pPr>
        <w:pStyle w:val="NoSpacing"/>
        <w:rPr>
          <w:rFonts w:cstheme="minorHAnsi"/>
        </w:rPr>
      </w:pPr>
      <w:hyperlink r:id="rId15">
        <w:r w:rsidR="003A35C1" w:rsidRPr="00646F81">
          <w:rPr>
            <w:rStyle w:val="Hyperlink"/>
            <w:rFonts w:cstheme="minorHAnsi"/>
          </w:rPr>
          <w:t xml:space="preserve">Microsoft Teams </w:t>
        </w:r>
      </w:hyperlink>
      <w:r w:rsidR="003A35C1" w:rsidRPr="00646F81">
        <w:rPr>
          <w:rFonts w:cstheme="minorHAnsi"/>
        </w:rPr>
        <w:t>is Queen’s preferred platform.</w:t>
      </w:r>
      <w:r w:rsidR="00E75088" w:rsidRPr="00646F81">
        <w:rPr>
          <w:rFonts w:cstheme="minorHAnsi"/>
        </w:rPr>
        <w:t xml:space="preserve"> </w:t>
      </w:r>
      <w:r w:rsidR="003A35C1" w:rsidRPr="00646F81">
        <w:rPr>
          <w:rFonts w:cstheme="minorHAnsi"/>
        </w:rPr>
        <w:t>Indicating in your ethics application or amendment that you will be using Microsoft Teams as your platform provides sufficient information on the privacy and security of this platform for the REB. If you will be recording the session, ensure that you inform the participants in the LOI/CF and at the beginning of the virtual session.</w:t>
      </w:r>
    </w:p>
    <w:p w14:paraId="4AB8E519" w14:textId="77777777" w:rsidR="003A35C1" w:rsidRPr="00646F81" w:rsidRDefault="003A35C1" w:rsidP="003A35C1">
      <w:pPr>
        <w:pStyle w:val="NoSpacing"/>
        <w:rPr>
          <w:rFonts w:cstheme="minorHAnsi"/>
        </w:rPr>
      </w:pPr>
    </w:p>
    <w:p w14:paraId="3239BB63" w14:textId="77777777" w:rsidR="003A35C1" w:rsidRPr="00646F81" w:rsidRDefault="003A35C1" w:rsidP="003A35C1">
      <w:pPr>
        <w:pStyle w:val="NoSpacing"/>
        <w:rPr>
          <w:rFonts w:cstheme="minorHAnsi"/>
        </w:rPr>
      </w:pPr>
      <w:r w:rsidRPr="00646F81">
        <w:rPr>
          <w:rFonts w:cstheme="minorHAnsi"/>
        </w:rPr>
        <w:t>Queen’s ITS recommends these best practices to protect your Teams meetings:</w:t>
      </w:r>
    </w:p>
    <w:p w14:paraId="6BD68D7E" w14:textId="77777777" w:rsidR="003A35C1" w:rsidRPr="00646F81" w:rsidRDefault="00F63D16" w:rsidP="003A35C1">
      <w:pPr>
        <w:pStyle w:val="NoSpacing"/>
        <w:numPr>
          <w:ilvl w:val="0"/>
          <w:numId w:val="4"/>
        </w:numPr>
        <w:rPr>
          <w:rFonts w:cstheme="minorHAnsi"/>
        </w:rPr>
      </w:pPr>
      <w:hyperlink r:id="rId16" w:anchor="beprepared">
        <w:r w:rsidR="003A35C1" w:rsidRPr="00646F81">
          <w:rPr>
            <w:rStyle w:val="Hyperlink"/>
            <w:rFonts w:cstheme="minorHAnsi"/>
          </w:rPr>
          <w:t xml:space="preserve">Be prepared </w:t>
        </w:r>
      </w:hyperlink>
      <w:r w:rsidR="003A35C1" w:rsidRPr="00646F81">
        <w:rPr>
          <w:rFonts w:cstheme="minorHAnsi"/>
        </w:rPr>
        <w:t>– know the meeting options and settings prior to your virtual meeting</w:t>
      </w:r>
    </w:p>
    <w:p w14:paraId="20FF1462" w14:textId="3A4D3157" w:rsidR="003A35C1" w:rsidRPr="00646F81" w:rsidRDefault="00F63D16" w:rsidP="003A35C1">
      <w:pPr>
        <w:pStyle w:val="NoSpacing"/>
        <w:numPr>
          <w:ilvl w:val="0"/>
          <w:numId w:val="4"/>
        </w:numPr>
        <w:rPr>
          <w:rFonts w:cstheme="minorHAnsi"/>
        </w:rPr>
      </w:pPr>
      <w:hyperlink r:id="rId17" w:anchor="privatejoin">
        <w:r w:rsidR="003A35C1" w:rsidRPr="00646F81">
          <w:rPr>
            <w:rStyle w:val="Hyperlink"/>
            <w:rFonts w:cstheme="minorHAnsi"/>
          </w:rPr>
          <w:t xml:space="preserve">Keep meeting join information private </w:t>
        </w:r>
      </w:hyperlink>
      <w:r w:rsidR="003A35C1" w:rsidRPr="00646F81">
        <w:rPr>
          <w:rFonts w:cstheme="minorHAnsi"/>
        </w:rPr>
        <w:t>- do not share on social media or public websites</w:t>
      </w:r>
    </w:p>
    <w:p w14:paraId="74BDC5F2" w14:textId="77777777" w:rsidR="003A35C1" w:rsidRPr="00646F81" w:rsidRDefault="00F63D16" w:rsidP="003A35C1">
      <w:pPr>
        <w:pStyle w:val="NoSpacing"/>
        <w:numPr>
          <w:ilvl w:val="0"/>
          <w:numId w:val="4"/>
        </w:numPr>
        <w:rPr>
          <w:rFonts w:cstheme="minorHAnsi"/>
        </w:rPr>
      </w:pPr>
      <w:hyperlink r:id="rId18" w:anchor="controlaccess">
        <w:r w:rsidR="003A35C1" w:rsidRPr="00646F81">
          <w:rPr>
            <w:rStyle w:val="Hyperlink"/>
            <w:rFonts w:cstheme="minorHAnsi"/>
          </w:rPr>
          <w:t xml:space="preserve">Control access </w:t>
        </w:r>
      </w:hyperlink>
      <w:r w:rsidR="003A35C1" w:rsidRPr="00646F81">
        <w:rPr>
          <w:rFonts w:cstheme="minorHAnsi"/>
        </w:rPr>
        <w:t>– learn to manage the meeting lobby to prevent uninvited guests from attending</w:t>
      </w:r>
    </w:p>
    <w:p w14:paraId="2F5FC6A8" w14:textId="77777777" w:rsidR="003A35C1" w:rsidRPr="00646F81" w:rsidRDefault="00F63D16" w:rsidP="003A35C1">
      <w:pPr>
        <w:pStyle w:val="NoSpacing"/>
        <w:numPr>
          <w:ilvl w:val="0"/>
          <w:numId w:val="4"/>
        </w:numPr>
        <w:rPr>
          <w:rFonts w:cstheme="minorHAnsi"/>
        </w:rPr>
      </w:pPr>
      <w:hyperlink r:id="rId19" w:anchor="preventcontrol">
        <w:r w:rsidR="003A35C1" w:rsidRPr="00646F81">
          <w:rPr>
            <w:rStyle w:val="Hyperlink"/>
            <w:rFonts w:cstheme="minorHAnsi"/>
          </w:rPr>
          <w:t>Prevent users from taking control of the meeting</w:t>
        </w:r>
      </w:hyperlink>
    </w:p>
    <w:p w14:paraId="0854EAAF" w14:textId="77777777" w:rsidR="003A35C1" w:rsidRPr="00646F81" w:rsidRDefault="00F63D16" w:rsidP="003A35C1">
      <w:pPr>
        <w:pStyle w:val="NoSpacing"/>
        <w:numPr>
          <w:ilvl w:val="0"/>
          <w:numId w:val="4"/>
        </w:numPr>
        <w:rPr>
          <w:rFonts w:cstheme="minorHAnsi"/>
        </w:rPr>
      </w:pPr>
      <w:hyperlink r:id="rId20" w:anchor="limitscreenshare">
        <w:r w:rsidR="003A35C1" w:rsidRPr="00646F81">
          <w:rPr>
            <w:rStyle w:val="Hyperlink"/>
            <w:rFonts w:cstheme="minorHAnsi"/>
          </w:rPr>
          <w:t>Limit screen sharing</w:t>
        </w:r>
      </w:hyperlink>
    </w:p>
    <w:p w14:paraId="3CBBF246" w14:textId="77777777" w:rsidR="003A35C1" w:rsidRPr="00646F81" w:rsidRDefault="00F63D16" w:rsidP="003A35C1">
      <w:pPr>
        <w:pStyle w:val="NoSpacing"/>
        <w:numPr>
          <w:ilvl w:val="0"/>
          <w:numId w:val="4"/>
        </w:numPr>
        <w:rPr>
          <w:rFonts w:cstheme="minorHAnsi"/>
        </w:rPr>
      </w:pPr>
      <w:hyperlink r:id="rId21" w:anchor="restrictchat">
        <w:r w:rsidR="003A35C1" w:rsidRPr="00646F81">
          <w:rPr>
            <w:rStyle w:val="Hyperlink"/>
            <w:rFonts w:cstheme="minorHAnsi"/>
          </w:rPr>
          <w:t xml:space="preserve">Restrict chat </w:t>
        </w:r>
      </w:hyperlink>
      <w:r w:rsidR="003A35C1" w:rsidRPr="00646F81">
        <w:rPr>
          <w:rFonts w:cstheme="minorHAnsi"/>
        </w:rPr>
        <w:t>to members of your Team</w:t>
      </w:r>
    </w:p>
    <w:p w14:paraId="114A31D6" w14:textId="01A20D05" w:rsidR="003A35C1" w:rsidRPr="00646F81" w:rsidRDefault="003A35C1" w:rsidP="003A35C1">
      <w:pPr>
        <w:pStyle w:val="NoSpacing"/>
        <w:numPr>
          <w:ilvl w:val="0"/>
          <w:numId w:val="4"/>
        </w:numPr>
        <w:rPr>
          <w:rFonts w:cstheme="minorHAnsi"/>
        </w:rPr>
      </w:pPr>
      <w:r w:rsidRPr="00646F81">
        <w:rPr>
          <w:rFonts w:cstheme="minorHAnsi"/>
        </w:rPr>
        <w:t xml:space="preserve">Visit Queen’s ITS </w:t>
      </w:r>
      <w:hyperlink r:id="rId22" w:anchor="protectmeetings">
        <w:r w:rsidRPr="00646F81">
          <w:rPr>
            <w:rStyle w:val="Hyperlink"/>
            <w:rFonts w:cstheme="minorHAnsi"/>
          </w:rPr>
          <w:t>Meetings in Teams page</w:t>
        </w:r>
      </w:hyperlink>
      <w:r w:rsidR="00E75088" w:rsidRPr="00646F81">
        <w:rPr>
          <w:rFonts w:cstheme="minorHAnsi"/>
        </w:rPr>
        <w:t xml:space="preserve"> f</w:t>
      </w:r>
      <w:r w:rsidRPr="00646F81">
        <w:rPr>
          <w:rFonts w:cstheme="minorHAnsi"/>
        </w:rPr>
        <w:t>or an overview of best practices and detailed tutorials for how to protect your Teams meetings.</w:t>
      </w:r>
    </w:p>
    <w:p w14:paraId="6666A061" w14:textId="77777777" w:rsidR="003A35C1" w:rsidRPr="00646F81" w:rsidRDefault="003A35C1" w:rsidP="003A35C1">
      <w:pPr>
        <w:pStyle w:val="NoSpacing"/>
        <w:rPr>
          <w:rFonts w:cstheme="minorHAnsi"/>
        </w:rPr>
      </w:pPr>
    </w:p>
    <w:p w14:paraId="0A238794" w14:textId="2A3AF4A5" w:rsidR="003A35C1" w:rsidRPr="00646F81" w:rsidRDefault="00CE3799" w:rsidP="00CD4EE6">
      <w:pPr>
        <w:pStyle w:val="Heading3"/>
        <w:numPr>
          <w:ilvl w:val="0"/>
          <w:numId w:val="13"/>
        </w:numP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Queen’s </w:t>
      </w:r>
      <w:r w:rsidR="003A35C1" w:rsidRPr="00646F81">
        <w:rPr>
          <w:rFonts w:asciiTheme="minorHAnsi" w:hAnsiTheme="minorHAnsi" w:cstheme="minorHAnsi"/>
          <w:b/>
          <w:bCs/>
          <w:color w:val="auto"/>
          <w:sz w:val="22"/>
          <w:szCs w:val="22"/>
        </w:rPr>
        <w:t>Zoom</w:t>
      </w:r>
      <w:r>
        <w:rPr>
          <w:rFonts w:asciiTheme="minorHAnsi" w:hAnsiTheme="minorHAnsi" w:cstheme="minorHAnsi"/>
          <w:b/>
          <w:bCs/>
          <w:color w:val="auto"/>
          <w:sz w:val="22"/>
          <w:szCs w:val="22"/>
        </w:rPr>
        <w:t xml:space="preserve"> Education Account</w:t>
      </w:r>
    </w:p>
    <w:p w14:paraId="72103BC9" w14:textId="23A587FB" w:rsidR="00DA4B4F" w:rsidRPr="00646F81" w:rsidRDefault="00326F2B" w:rsidP="00DA4B4F">
      <w:pPr>
        <w:pStyle w:val="NoSpacing"/>
        <w:rPr>
          <w:rFonts w:cstheme="minorHAnsi"/>
        </w:rPr>
      </w:pPr>
      <w:r w:rsidRPr="00646F81">
        <w:rPr>
          <w:rFonts w:cstheme="minorHAnsi"/>
        </w:rPr>
        <w:t xml:space="preserve">Queen’s University students, staff, teaching assistants, and faculty with an active NetID@queensu.ca email address are eligible for </w:t>
      </w:r>
      <w:hyperlink r:id="rId23" w:history="1">
        <w:r w:rsidRPr="00646F81">
          <w:rPr>
            <w:rStyle w:val="Hyperlink"/>
            <w:rFonts w:cstheme="minorHAnsi"/>
          </w:rPr>
          <w:t>licensed Zoom Education accounts.</w:t>
        </w:r>
      </w:hyperlink>
      <w:r w:rsidRPr="00646F81">
        <w:rPr>
          <w:rFonts w:cstheme="minorHAnsi"/>
        </w:rPr>
        <w:t xml:space="preserve"> </w:t>
      </w:r>
      <w:r w:rsidR="00DA4B4F" w:rsidRPr="00646F81">
        <w:rPr>
          <w:rFonts w:cstheme="minorHAnsi"/>
        </w:rPr>
        <w:t>If you will be recording the session, ensure that you inform the participants in the LOI/CF and at the beginning of the virtual session.</w:t>
      </w:r>
    </w:p>
    <w:p w14:paraId="790101FC" w14:textId="77777777" w:rsidR="000C2D5D" w:rsidRDefault="000C2D5D" w:rsidP="003A35C1">
      <w:pPr>
        <w:pStyle w:val="NoSpacing"/>
        <w:rPr>
          <w:rFonts w:cstheme="minorHAnsi"/>
        </w:rPr>
      </w:pPr>
    </w:p>
    <w:p w14:paraId="0BE90D05" w14:textId="3665C345" w:rsidR="003A35C1" w:rsidRPr="00646F81" w:rsidRDefault="003A35C1" w:rsidP="003A35C1">
      <w:pPr>
        <w:pStyle w:val="NoSpacing"/>
        <w:rPr>
          <w:rFonts w:cstheme="minorHAnsi"/>
        </w:rPr>
      </w:pPr>
      <w:proofErr w:type="gramStart"/>
      <w:r w:rsidRPr="00646F81">
        <w:rPr>
          <w:rFonts w:cstheme="minorHAnsi"/>
        </w:rPr>
        <w:t>Queen’s</w:t>
      </w:r>
      <w:proofErr w:type="gramEnd"/>
      <w:r w:rsidRPr="00646F81">
        <w:rPr>
          <w:rFonts w:cstheme="minorHAnsi"/>
        </w:rPr>
        <w:t xml:space="preserve"> ITS has released the following recommendations when using Zoom:</w:t>
      </w:r>
    </w:p>
    <w:p w14:paraId="06A53729" w14:textId="77777777" w:rsidR="003A35C1" w:rsidRPr="00646F81" w:rsidRDefault="003A35C1" w:rsidP="003A35C1">
      <w:pPr>
        <w:pStyle w:val="NoSpacing"/>
        <w:numPr>
          <w:ilvl w:val="0"/>
          <w:numId w:val="5"/>
        </w:numPr>
        <w:rPr>
          <w:rFonts w:cstheme="minorHAnsi"/>
        </w:rPr>
      </w:pPr>
      <w:r w:rsidRPr="00646F81">
        <w:rPr>
          <w:rFonts w:cstheme="minorHAnsi"/>
        </w:rPr>
        <w:t>Avoid sharing meeting links on social media or public outlets</w:t>
      </w:r>
    </w:p>
    <w:p w14:paraId="0B41D82B" w14:textId="77777777" w:rsidR="003A35C1" w:rsidRPr="00646F81" w:rsidRDefault="003A35C1" w:rsidP="003A35C1">
      <w:pPr>
        <w:pStyle w:val="NoSpacing"/>
        <w:numPr>
          <w:ilvl w:val="0"/>
          <w:numId w:val="5"/>
        </w:numPr>
        <w:rPr>
          <w:rFonts w:cstheme="minorHAnsi"/>
        </w:rPr>
      </w:pPr>
      <w:r w:rsidRPr="00646F81">
        <w:rPr>
          <w:rFonts w:cstheme="minorHAnsi"/>
        </w:rPr>
        <w:t>Avoid using Personal Meetings ID (PMI) to host public events</w:t>
      </w:r>
      <w:r w:rsidRPr="00646F81">
        <w:rPr>
          <w:rFonts w:cstheme="minorHAnsi"/>
          <w:b/>
        </w:rPr>
        <w:t xml:space="preserve"> </w:t>
      </w:r>
      <w:r w:rsidRPr="00646F81">
        <w:rPr>
          <w:rFonts w:cstheme="minorHAnsi"/>
        </w:rPr>
        <w:t>- Your PMI is a persistent meeting room and people can pop in and out all the time</w:t>
      </w:r>
    </w:p>
    <w:p w14:paraId="780EACE7" w14:textId="77777777" w:rsidR="003A35C1" w:rsidRPr="00646F81" w:rsidRDefault="003A35C1" w:rsidP="003A35C1">
      <w:pPr>
        <w:pStyle w:val="NoSpacing"/>
        <w:numPr>
          <w:ilvl w:val="0"/>
          <w:numId w:val="5"/>
        </w:numPr>
        <w:rPr>
          <w:rFonts w:cstheme="minorHAnsi"/>
        </w:rPr>
      </w:pPr>
      <w:r w:rsidRPr="00646F81">
        <w:rPr>
          <w:rFonts w:cstheme="minorHAnsi"/>
        </w:rPr>
        <w:t>Manage Screen Sharing - To prevent random people from taking over sharing, restrict sharing to the host</w:t>
      </w:r>
    </w:p>
    <w:p w14:paraId="660C1E77" w14:textId="77777777" w:rsidR="003A35C1" w:rsidRPr="00646F81" w:rsidRDefault="003A35C1" w:rsidP="003A35C1">
      <w:pPr>
        <w:pStyle w:val="NoSpacing"/>
        <w:numPr>
          <w:ilvl w:val="0"/>
          <w:numId w:val="5"/>
        </w:numPr>
        <w:rPr>
          <w:rFonts w:cstheme="minorHAnsi"/>
        </w:rPr>
      </w:pPr>
      <w:r w:rsidRPr="00646F81">
        <w:rPr>
          <w:rFonts w:cstheme="minorHAnsi"/>
        </w:rPr>
        <w:t>Manage Participants</w:t>
      </w:r>
    </w:p>
    <w:p w14:paraId="79F9A181" w14:textId="77777777" w:rsidR="003A35C1" w:rsidRPr="00646F81" w:rsidRDefault="003A35C1" w:rsidP="003A35C1">
      <w:pPr>
        <w:pStyle w:val="NoSpacing"/>
        <w:numPr>
          <w:ilvl w:val="0"/>
          <w:numId w:val="5"/>
        </w:numPr>
        <w:rPr>
          <w:rFonts w:cstheme="minorHAnsi"/>
        </w:rPr>
      </w:pPr>
      <w:r w:rsidRPr="00646F81">
        <w:rPr>
          <w:rFonts w:cstheme="minorHAnsi"/>
        </w:rPr>
        <w:t>Lock the meeting - By locking the meeting after the meeting has started, no new participants can join</w:t>
      </w:r>
    </w:p>
    <w:p w14:paraId="78B5CFBD" w14:textId="77777777" w:rsidR="003A35C1" w:rsidRPr="00646F81" w:rsidRDefault="003A35C1" w:rsidP="003A35C1">
      <w:pPr>
        <w:pStyle w:val="NoSpacing"/>
        <w:numPr>
          <w:ilvl w:val="0"/>
          <w:numId w:val="5"/>
        </w:numPr>
        <w:rPr>
          <w:rFonts w:cstheme="minorHAnsi"/>
        </w:rPr>
      </w:pPr>
      <w:r w:rsidRPr="00646F81">
        <w:rPr>
          <w:rFonts w:cstheme="minorHAnsi"/>
        </w:rPr>
        <w:t>Remove unwanted or disruptive participants</w:t>
      </w:r>
    </w:p>
    <w:p w14:paraId="0DD536B0" w14:textId="3C9A21FC" w:rsidR="003A35C1" w:rsidRPr="00646F81" w:rsidRDefault="003A35C1" w:rsidP="003A35C1">
      <w:pPr>
        <w:pStyle w:val="NoSpacing"/>
        <w:numPr>
          <w:ilvl w:val="0"/>
          <w:numId w:val="5"/>
        </w:numPr>
        <w:rPr>
          <w:rFonts w:cstheme="minorHAnsi"/>
        </w:rPr>
      </w:pPr>
      <w:r w:rsidRPr="00646F81">
        <w:rPr>
          <w:rFonts w:cstheme="minorHAnsi"/>
        </w:rPr>
        <w:t>Disable video – Hosts can block unwanted, distracting, or inappropriate gestures on video</w:t>
      </w:r>
    </w:p>
    <w:p w14:paraId="479FC798" w14:textId="77777777" w:rsidR="003A35C1" w:rsidRPr="00646F81" w:rsidRDefault="003A35C1" w:rsidP="003A35C1">
      <w:pPr>
        <w:pStyle w:val="NoSpacing"/>
        <w:numPr>
          <w:ilvl w:val="0"/>
          <w:numId w:val="5"/>
        </w:numPr>
        <w:rPr>
          <w:rFonts w:cstheme="minorHAnsi"/>
        </w:rPr>
      </w:pPr>
      <w:bookmarkStart w:id="10" w:name="_bookmark2"/>
      <w:bookmarkEnd w:id="10"/>
      <w:r w:rsidRPr="00646F81">
        <w:rPr>
          <w:rFonts w:cstheme="minorHAnsi"/>
        </w:rPr>
        <w:t>Mute participants – Hosts can block unwanted, distracting, or inappropriate noise from other participants</w:t>
      </w:r>
    </w:p>
    <w:p w14:paraId="57B8DAE6" w14:textId="6D9E9F1A" w:rsidR="003A35C1" w:rsidRPr="00646F81" w:rsidRDefault="003A35C1" w:rsidP="003A35C1">
      <w:pPr>
        <w:pStyle w:val="NoSpacing"/>
        <w:numPr>
          <w:ilvl w:val="0"/>
          <w:numId w:val="5"/>
        </w:numPr>
        <w:rPr>
          <w:rFonts w:cstheme="minorHAnsi"/>
        </w:rPr>
      </w:pPr>
      <w:r w:rsidRPr="00646F81">
        <w:rPr>
          <w:rFonts w:cstheme="minorHAnsi"/>
        </w:rPr>
        <w:t>Introduce a Waiting Room – The Waiting Room is a virtual staging area that stops your guests from joining until you are ready for them</w:t>
      </w:r>
    </w:p>
    <w:p w14:paraId="69B28ABC" w14:textId="6257F155" w:rsidR="003A35C1" w:rsidRPr="00646F81" w:rsidRDefault="003A35C1" w:rsidP="003A35C1">
      <w:pPr>
        <w:pStyle w:val="NoSpacing"/>
        <w:numPr>
          <w:ilvl w:val="0"/>
          <w:numId w:val="5"/>
        </w:numPr>
        <w:rPr>
          <w:rFonts w:cstheme="minorHAnsi"/>
        </w:rPr>
      </w:pPr>
      <w:r w:rsidRPr="00646F81">
        <w:rPr>
          <w:rFonts w:cstheme="minorHAnsi"/>
        </w:rPr>
        <w:t xml:space="preserve">For more information about protecting your Zoom meetings, visit the </w:t>
      </w:r>
      <w:hyperlink r:id="rId24">
        <w:r w:rsidRPr="00646F81">
          <w:rPr>
            <w:rStyle w:val="Hyperlink"/>
            <w:rFonts w:cstheme="minorHAnsi"/>
          </w:rPr>
          <w:t>Zoom security website</w:t>
        </w:r>
      </w:hyperlink>
    </w:p>
    <w:p w14:paraId="0C2625D8" w14:textId="316639B0" w:rsidR="003A35C1" w:rsidRPr="00646F81" w:rsidRDefault="003A35C1" w:rsidP="003A35C1">
      <w:pPr>
        <w:pStyle w:val="NoSpacing"/>
        <w:rPr>
          <w:rFonts w:cstheme="minorHAnsi"/>
        </w:rPr>
      </w:pPr>
    </w:p>
    <w:p w14:paraId="564ED175" w14:textId="6583CB96" w:rsidR="003A35C1" w:rsidRPr="00646F81" w:rsidRDefault="003A35C1" w:rsidP="00CD4EE6">
      <w:pPr>
        <w:pStyle w:val="Heading3"/>
        <w:numPr>
          <w:ilvl w:val="0"/>
          <w:numId w:val="13"/>
        </w:numPr>
        <w:rPr>
          <w:rFonts w:asciiTheme="minorHAnsi" w:hAnsiTheme="minorHAnsi" w:cstheme="minorHAnsi"/>
          <w:b/>
          <w:color w:val="auto"/>
          <w:sz w:val="22"/>
          <w:szCs w:val="22"/>
        </w:rPr>
      </w:pPr>
      <w:r w:rsidRPr="00646F81">
        <w:rPr>
          <w:rFonts w:asciiTheme="minorHAnsi" w:hAnsiTheme="minorHAnsi" w:cstheme="minorHAnsi"/>
          <w:b/>
          <w:color w:val="auto"/>
          <w:sz w:val="22"/>
          <w:szCs w:val="22"/>
        </w:rPr>
        <w:t>Alternative Platforms</w:t>
      </w:r>
    </w:p>
    <w:p w14:paraId="3DBBA890" w14:textId="34E30C3B" w:rsidR="009B519B" w:rsidRPr="00646F81" w:rsidRDefault="00E75088" w:rsidP="00DA4B4F">
      <w:pPr>
        <w:pStyle w:val="NoSpacing"/>
        <w:rPr>
          <w:rFonts w:cstheme="minorHAnsi"/>
        </w:rPr>
      </w:pPr>
      <w:r w:rsidRPr="00646F81">
        <w:rPr>
          <w:rFonts w:cstheme="minorHAnsi"/>
        </w:rPr>
        <w:t>V</w:t>
      </w:r>
      <w:r w:rsidR="003A35C1" w:rsidRPr="00646F81">
        <w:rPr>
          <w:rFonts w:cstheme="minorHAnsi"/>
        </w:rPr>
        <w:t xml:space="preserve">irtual interactions </w:t>
      </w:r>
      <w:r w:rsidR="00B05F7E" w:rsidRPr="00646F81">
        <w:rPr>
          <w:rFonts w:cstheme="minorHAnsi"/>
        </w:rPr>
        <w:t>that are proposed on an alternative</w:t>
      </w:r>
      <w:r w:rsidR="003A35C1" w:rsidRPr="00646F81">
        <w:rPr>
          <w:rFonts w:cstheme="minorHAnsi"/>
        </w:rPr>
        <w:t xml:space="preserve"> platform </w:t>
      </w:r>
      <w:r w:rsidR="00DA4B4F" w:rsidRPr="00646F81">
        <w:rPr>
          <w:rFonts w:cstheme="minorHAnsi"/>
        </w:rPr>
        <w:t xml:space="preserve">(e.g., </w:t>
      </w:r>
      <w:r w:rsidR="003A35C1" w:rsidRPr="00646F81">
        <w:rPr>
          <w:rFonts w:cstheme="minorHAnsi"/>
        </w:rPr>
        <w:t xml:space="preserve">Skype, </w:t>
      </w:r>
      <w:r w:rsidR="009B519B" w:rsidRPr="00646F81">
        <w:rPr>
          <w:rFonts w:cstheme="minorHAnsi"/>
        </w:rPr>
        <w:t xml:space="preserve">DocuSign®, </w:t>
      </w:r>
      <w:r w:rsidR="003A35C1" w:rsidRPr="00646F81">
        <w:rPr>
          <w:rFonts w:cstheme="minorHAnsi"/>
        </w:rPr>
        <w:t xml:space="preserve">FaceTime, GoToMeeting, </w:t>
      </w:r>
      <w:proofErr w:type="spellStart"/>
      <w:r w:rsidR="003A35C1" w:rsidRPr="00646F81">
        <w:rPr>
          <w:rFonts w:cstheme="minorHAnsi"/>
        </w:rPr>
        <w:t>Zoho</w:t>
      </w:r>
      <w:proofErr w:type="spellEnd"/>
      <w:r w:rsidR="003A35C1" w:rsidRPr="00646F81">
        <w:rPr>
          <w:rFonts w:cstheme="minorHAnsi"/>
        </w:rPr>
        <w:t xml:space="preserve">, etc.) </w:t>
      </w:r>
      <w:r w:rsidR="00B05F7E" w:rsidRPr="00646F81">
        <w:rPr>
          <w:rFonts w:cstheme="minorHAnsi"/>
        </w:rPr>
        <w:t>must</w:t>
      </w:r>
      <w:r w:rsidR="003A35C1" w:rsidRPr="00646F81">
        <w:rPr>
          <w:rFonts w:cstheme="minorHAnsi"/>
        </w:rPr>
        <w:t xml:space="preserve"> include </w:t>
      </w:r>
      <w:r w:rsidR="00B05F7E" w:rsidRPr="00646F81">
        <w:rPr>
          <w:rFonts w:cstheme="minorHAnsi"/>
        </w:rPr>
        <w:t>information about the</w:t>
      </w:r>
      <w:r w:rsidR="003A35C1" w:rsidRPr="00646F81">
        <w:rPr>
          <w:rFonts w:cstheme="minorHAnsi"/>
        </w:rPr>
        <w:t xml:space="preserve"> privacy and security details </w:t>
      </w:r>
      <w:r w:rsidR="00FC611E" w:rsidRPr="00646F81">
        <w:rPr>
          <w:rFonts w:cstheme="minorHAnsi"/>
        </w:rPr>
        <w:t>of the chosen platform</w:t>
      </w:r>
      <w:r w:rsidR="00B05F7E" w:rsidRPr="00646F81">
        <w:rPr>
          <w:rFonts w:cstheme="minorHAnsi"/>
        </w:rPr>
        <w:t>.</w:t>
      </w:r>
      <w:r w:rsidR="00DA4B4F" w:rsidRPr="00646F81">
        <w:rPr>
          <w:rFonts w:cstheme="minorHAnsi"/>
        </w:rPr>
        <w:t xml:space="preserve"> </w:t>
      </w:r>
      <w:r w:rsidR="003A35C1" w:rsidRPr="00646F81">
        <w:rPr>
          <w:rFonts w:cstheme="minorHAnsi"/>
        </w:rPr>
        <w:t>If you will be recording the session</w:t>
      </w:r>
      <w:r w:rsidR="009B519B" w:rsidRPr="00646F81">
        <w:rPr>
          <w:rFonts w:cstheme="minorHAnsi"/>
        </w:rPr>
        <w:t xml:space="preserve"> you must inform</w:t>
      </w:r>
      <w:r w:rsidR="003A35C1" w:rsidRPr="00646F81">
        <w:rPr>
          <w:rFonts w:cstheme="minorHAnsi"/>
        </w:rPr>
        <w:t xml:space="preserve"> participants in the LOI/CF and at the beginning of the virtual session.</w:t>
      </w:r>
    </w:p>
    <w:p w14:paraId="7CA12E8D" w14:textId="5CA62DD4" w:rsidR="003A35C1" w:rsidRPr="00646F81" w:rsidRDefault="003A35C1" w:rsidP="00FE389F">
      <w:pPr>
        <w:pStyle w:val="NoSpacing"/>
        <w:numPr>
          <w:ilvl w:val="0"/>
          <w:numId w:val="15"/>
        </w:numPr>
        <w:rPr>
          <w:rFonts w:cstheme="minorHAnsi"/>
        </w:rPr>
      </w:pPr>
      <w:r w:rsidRPr="00646F81">
        <w:rPr>
          <w:rFonts w:cstheme="minorHAnsi"/>
        </w:rPr>
        <w:t>These questions</w:t>
      </w:r>
      <w:r w:rsidR="009B519B" w:rsidRPr="00646F81">
        <w:rPr>
          <w:rFonts w:cstheme="minorHAnsi"/>
        </w:rPr>
        <w:t xml:space="preserve"> can be used to help </w:t>
      </w:r>
      <w:r w:rsidRPr="00646F81">
        <w:rPr>
          <w:rFonts w:cstheme="minorHAnsi"/>
        </w:rPr>
        <w:t>assess and mitigate the risk based on the</w:t>
      </w:r>
      <w:r w:rsidR="009B519B" w:rsidRPr="00646F81">
        <w:rPr>
          <w:rFonts w:cstheme="minorHAnsi"/>
        </w:rPr>
        <w:t xml:space="preserve"> specific virtual platform</w:t>
      </w:r>
      <w:r w:rsidRPr="00646F81">
        <w:rPr>
          <w:rFonts w:cstheme="minorHAnsi"/>
        </w:rPr>
        <w:t xml:space="preserve"> derived from Queen’s ITS </w:t>
      </w:r>
      <w:hyperlink r:id="rId25">
        <w:r w:rsidRPr="00646F81">
          <w:rPr>
            <w:rStyle w:val="Hyperlink"/>
            <w:rFonts w:cstheme="minorHAnsi"/>
          </w:rPr>
          <w:t>Authorization to Operate</w:t>
        </w:r>
      </w:hyperlink>
      <w:r w:rsidR="00E75088" w:rsidRPr="00646F81">
        <w:rPr>
          <w:rFonts w:cstheme="minorHAnsi"/>
        </w:rPr>
        <w:t xml:space="preserve"> p</w:t>
      </w:r>
      <w:r w:rsidRPr="00646F81">
        <w:rPr>
          <w:rFonts w:cstheme="minorHAnsi"/>
        </w:rPr>
        <w:t>age u</w:t>
      </w:r>
      <w:r w:rsidR="009B519B" w:rsidRPr="00646F81">
        <w:rPr>
          <w:rFonts w:cstheme="minorHAnsi"/>
        </w:rPr>
        <w:t>nder ‘What should you consider</w:t>
      </w:r>
      <w:proofErr w:type="gramStart"/>
      <w:r w:rsidR="009B519B" w:rsidRPr="00646F81">
        <w:rPr>
          <w:rFonts w:cstheme="minorHAnsi"/>
        </w:rPr>
        <w:t>?:</w:t>
      </w:r>
      <w:proofErr w:type="gramEnd"/>
    </w:p>
    <w:p w14:paraId="0268AA18" w14:textId="62A9BBD9" w:rsidR="009B519B" w:rsidRPr="00646F81" w:rsidRDefault="003A35C1" w:rsidP="00BF7821">
      <w:pPr>
        <w:pStyle w:val="NoSpacing"/>
        <w:numPr>
          <w:ilvl w:val="1"/>
          <w:numId w:val="15"/>
        </w:numPr>
        <w:rPr>
          <w:rFonts w:cstheme="minorHAnsi"/>
        </w:rPr>
      </w:pPr>
      <w:r w:rsidRPr="00646F81">
        <w:rPr>
          <w:rFonts w:cstheme="minorHAnsi"/>
        </w:rPr>
        <w:t xml:space="preserve">What type of data will be collected, used, stored, and processed by you and by the vendor and </w:t>
      </w:r>
      <w:hyperlink r:id="rId26">
        <w:proofErr w:type="gramStart"/>
        <w:r w:rsidR="00E75088" w:rsidRPr="00646F81">
          <w:rPr>
            <w:rStyle w:val="Hyperlink"/>
            <w:rFonts w:cstheme="minorHAnsi"/>
          </w:rPr>
          <w:t>H</w:t>
        </w:r>
        <w:r w:rsidRPr="00646F81">
          <w:rPr>
            <w:rStyle w:val="Hyperlink"/>
            <w:rFonts w:cstheme="minorHAnsi"/>
          </w:rPr>
          <w:t>ow</w:t>
        </w:r>
        <w:proofErr w:type="gramEnd"/>
        <w:r w:rsidRPr="00646F81">
          <w:rPr>
            <w:rStyle w:val="Hyperlink"/>
            <w:rFonts w:cstheme="minorHAnsi"/>
          </w:rPr>
          <w:t xml:space="preserve"> sensitive </w:t>
        </w:r>
      </w:hyperlink>
      <w:hyperlink r:id="rId27">
        <w:r w:rsidRPr="00646F81">
          <w:rPr>
            <w:rStyle w:val="Hyperlink"/>
            <w:rFonts w:cstheme="minorHAnsi"/>
          </w:rPr>
          <w:t>is it</w:t>
        </w:r>
      </w:hyperlink>
      <w:r w:rsidRPr="00646F81">
        <w:rPr>
          <w:rFonts w:cstheme="minorHAnsi"/>
        </w:rPr>
        <w:t>?</w:t>
      </w:r>
    </w:p>
    <w:p w14:paraId="7EF1AE8F" w14:textId="77777777" w:rsidR="009B519B" w:rsidRPr="00646F81" w:rsidRDefault="003A35C1" w:rsidP="00BF7821">
      <w:pPr>
        <w:pStyle w:val="NoSpacing"/>
        <w:numPr>
          <w:ilvl w:val="1"/>
          <w:numId w:val="15"/>
        </w:numPr>
        <w:rPr>
          <w:rFonts w:cstheme="minorHAnsi"/>
        </w:rPr>
      </w:pPr>
      <w:r w:rsidRPr="00646F81">
        <w:rPr>
          <w:rFonts w:cstheme="minorHAnsi"/>
        </w:rPr>
        <w:t>Who will have access to the data, and how can we confirm this?</w:t>
      </w:r>
    </w:p>
    <w:p w14:paraId="5A6C33BD" w14:textId="77777777" w:rsidR="009B519B" w:rsidRPr="00646F81" w:rsidRDefault="003A35C1" w:rsidP="00BF7821">
      <w:pPr>
        <w:pStyle w:val="NoSpacing"/>
        <w:numPr>
          <w:ilvl w:val="1"/>
          <w:numId w:val="15"/>
        </w:numPr>
        <w:rPr>
          <w:rFonts w:cstheme="minorHAnsi"/>
        </w:rPr>
      </w:pPr>
      <w:r w:rsidRPr="00646F81">
        <w:rPr>
          <w:rFonts w:cstheme="minorHAnsi"/>
        </w:rPr>
        <w:t>Does the vendor claim the right to use the information for its own, secondary purposes?</w:t>
      </w:r>
    </w:p>
    <w:p w14:paraId="091930CA" w14:textId="5D757CC8" w:rsidR="009B519B" w:rsidRPr="00646F81" w:rsidRDefault="003A35C1" w:rsidP="00BF7821">
      <w:pPr>
        <w:pStyle w:val="NoSpacing"/>
        <w:numPr>
          <w:ilvl w:val="1"/>
          <w:numId w:val="15"/>
        </w:numPr>
        <w:rPr>
          <w:rFonts w:cstheme="minorHAnsi"/>
        </w:rPr>
      </w:pPr>
      <w:r w:rsidRPr="00646F81">
        <w:rPr>
          <w:rFonts w:cstheme="minorHAnsi"/>
        </w:rPr>
        <w:t>Where does the vendor operate and/or store the data and what laws govern data in that jurisdiction? Are those laws comparable to Canadian privacy laws</w:t>
      </w:r>
      <w:proofErr w:type="gramStart"/>
      <w:r w:rsidRPr="00646F81">
        <w:rPr>
          <w:rFonts w:cstheme="minorHAnsi"/>
        </w:rPr>
        <w:t>?</w:t>
      </w:r>
      <w:r w:rsidR="00B05F7E" w:rsidRPr="00646F81">
        <w:rPr>
          <w:rFonts w:cstheme="minorHAnsi"/>
        </w:rPr>
        <w:t>/</w:t>
      </w:r>
      <w:proofErr w:type="gramEnd"/>
      <w:r w:rsidR="00B05F7E" w:rsidRPr="00646F81">
        <w:rPr>
          <w:rFonts w:cstheme="minorHAnsi"/>
        </w:rPr>
        <w:t>GDPR/US Regulations</w:t>
      </w:r>
      <w:r w:rsidR="000C2D5D">
        <w:rPr>
          <w:rFonts w:cstheme="minorHAnsi"/>
        </w:rPr>
        <w:t>?</w:t>
      </w:r>
    </w:p>
    <w:p w14:paraId="2E94C149" w14:textId="77777777" w:rsidR="009B519B" w:rsidRPr="00646F81" w:rsidRDefault="003A35C1" w:rsidP="00BF7821">
      <w:pPr>
        <w:pStyle w:val="NoSpacing"/>
        <w:numPr>
          <w:ilvl w:val="1"/>
          <w:numId w:val="15"/>
        </w:numPr>
        <w:rPr>
          <w:rFonts w:cstheme="minorHAnsi"/>
        </w:rPr>
      </w:pPr>
      <w:r w:rsidRPr="00646F81">
        <w:rPr>
          <w:rFonts w:cstheme="minorHAnsi"/>
        </w:rPr>
        <w:t>Is access to personal information limited and restricted to authorized individuals?</w:t>
      </w:r>
    </w:p>
    <w:p w14:paraId="30A8879F" w14:textId="77777777" w:rsidR="009B519B" w:rsidRPr="00646F81" w:rsidRDefault="003A35C1" w:rsidP="00BF7821">
      <w:pPr>
        <w:pStyle w:val="NoSpacing"/>
        <w:numPr>
          <w:ilvl w:val="1"/>
          <w:numId w:val="15"/>
        </w:numPr>
        <w:rPr>
          <w:rFonts w:cstheme="minorHAnsi"/>
        </w:rPr>
      </w:pPr>
      <w:r w:rsidRPr="00646F81">
        <w:rPr>
          <w:rFonts w:cstheme="minorHAnsi"/>
        </w:rPr>
        <w:t>What controls does the vendor have in place for intrusion detection, perimeter security, physical security, application of security patches, and data-leak prevention, among other safety measures?</w:t>
      </w:r>
    </w:p>
    <w:p w14:paraId="110C600E" w14:textId="77777777" w:rsidR="009B519B" w:rsidRPr="00646F81" w:rsidRDefault="003A35C1" w:rsidP="00BF7821">
      <w:pPr>
        <w:pStyle w:val="NoSpacing"/>
        <w:numPr>
          <w:ilvl w:val="1"/>
          <w:numId w:val="15"/>
        </w:numPr>
        <w:rPr>
          <w:rFonts w:cstheme="minorHAnsi"/>
        </w:rPr>
      </w:pPr>
      <w:r w:rsidRPr="00646F81">
        <w:rPr>
          <w:rFonts w:cstheme="minorHAnsi"/>
        </w:rPr>
        <w:t>What policies and procedures are in place to detect, prevent, and mitigate identity theft?</w:t>
      </w:r>
    </w:p>
    <w:p w14:paraId="2B8122B6" w14:textId="77777777" w:rsidR="009B519B" w:rsidRPr="00646F81" w:rsidRDefault="003A35C1" w:rsidP="00BF7821">
      <w:pPr>
        <w:pStyle w:val="NoSpacing"/>
        <w:numPr>
          <w:ilvl w:val="1"/>
          <w:numId w:val="15"/>
        </w:numPr>
        <w:rPr>
          <w:rFonts w:cstheme="minorHAnsi"/>
        </w:rPr>
      </w:pPr>
      <w:r w:rsidRPr="00646F81">
        <w:rPr>
          <w:rFonts w:cstheme="minorHAnsi"/>
        </w:rPr>
        <w:t>How are incidents and breaches reported?</w:t>
      </w:r>
    </w:p>
    <w:p w14:paraId="6DD10D41" w14:textId="77777777" w:rsidR="009B519B" w:rsidRPr="00646F81" w:rsidRDefault="003A35C1" w:rsidP="00BF7821">
      <w:pPr>
        <w:pStyle w:val="NoSpacing"/>
        <w:numPr>
          <w:ilvl w:val="1"/>
          <w:numId w:val="15"/>
        </w:numPr>
        <w:rPr>
          <w:rFonts w:cstheme="minorHAnsi"/>
        </w:rPr>
      </w:pPr>
      <w:r w:rsidRPr="00646F81">
        <w:rPr>
          <w:rFonts w:cstheme="minorHAnsi"/>
        </w:rPr>
        <w:t>Will we receive notification if a breach to our data occurs?</w:t>
      </w:r>
    </w:p>
    <w:p w14:paraId="418A6F29" w14:textId="1353DC79" w:rsidR="00554858" w:rsidRPr="00646F81" w:rsidRDefault="003A35C1" w:rsidP="00BF7821">
      <w:pPr>
        <w:pStyle w:val="NoSpacing"/>
        <w:numPr>
          <w:ilvl w:val="1"/>
          <w:numId w:val="15"/>
        </w:numPr>
        <w:rPr>
          <w:rFonts w:cstheme="minorHAnsi"/>
        </w:rPr>
      </w:pPr>
      <w:r w:rsidRPr="00646F81">
        <w:rPr>
          <w:rFonts w:cstheme="minorHAnsi"/>
        </w:rPr>
        <w:t>Can the data be retrieved and/or permanently deleted from the vendor’s systems and servers?</w:t>
      </w:r>
      <w:bookmarkStart w:id="11" w:name="Incentives"/>
      <w:bookmarkEnd w:id="11"/>
    </w:p>
    <w:p w14:paraId="133DBB5E" w14:textId="77777777" w:rsidR="00DA4B4F" w:rsidRPr="00646F81" w:rsidRDefault="00DA4B4F" w:rsidP="00DA4B4F">
      <w:pPr>
        <w:pStyle w:val="NoSpacing"/>
        <w:ind w:left="1080"/>
        <w:rPr>
          <w:rFonts w:cstheme="minorHAnsi"/>
        </w:rPr>
      </w:pPr>
    </w:p>
    <w:p w14:paraId="3164D543" w14:textId="6C87E1CD" w:rsidR="003A35C1" w:rsidRPr="00646F81" w:rsidRDefault="002D7549" w:rsidP="4F93FA8C">
      <w:pPr>
        <w:pStyle w:val="Heading2"/>
        <w:rPr>
          <w:rFonts w:asciiTheme="minorHAnsi" w:hAnsiTheme="minorHAnsi" w:cstheme="minorHAnsi"/>
          <w:b/>
          <w:bCs/>
          <w:color w:val="auto"/>
          <w:sz w:val="22"/>
          <w:szCs w:val="22"/>
        </w:rPr>
      </w:pPr>
      <w:bookmarkStart w:id="12" w:name="_Sending_Incentives"/>
      <w:bookmarkEnd w:id="12"/>
      <w:r w:rsidRPr="00646F81">
        <w:rPr>
          <w:rFonts w:asciiTheme="minorHAnsi" w:hAnsiTheme="minorHAnsi" w:cstheme="minorHAnsi"/>
          <w:b/>
          <w:bCs/>
          <w:color w:val="auto"/>
          <w:sz w:val="22"/>
          <w:szCs w:val="22"/>
        </w:rPr>
        <w:t xml:space="preserve">Sending </w:t>
      </w:r>
      <w:r w:rsidR="003A35C1" w:rsidRPr="00646F81">
        <w:rPr>
          <w:rFonts w:asciiTheme="minorHAnsi" w:hAnsiTheme="minorHAnsi" w:cstheme="minorHAnsi"/>
          <w:b/>
          <w:bCs/>
          <w:color w:val="auto"/>
          <w:sz w:val="22"/>
          <w:szCs w:val="22"/>
        </w:rPr>
        <w:t>Incentives</w:t>
      </w:r>
      <w:r w:rsidR="00DA4B4F" w:rsidRPr="00646F81">
        <w:rPr>
          <w:rFonts w:asciiTheme="minorHAnsi" w:hAnsiTheme="minorHAnsi" w:cstheme="minorHAnsi"/>
          <w:b/>
          <w:bCs/>
          <w:color w:val="auto"/>
          <w:sz w:val="22"/>
          <w:szCs w:val="22"/>
        </w:rPr>
        <w:t xml:space="preserve">/Confirming </w:t>
      </w:r>
      <w:r w:rsidR="00B05F7E" w:rsidRPr="00646F81">
        <w:rPr>
          <w:rFonts w:asciiTheme="minorHAnsi" w:hAnsiTheme="minorHAnsi" w:cstheme="minorHAnsi"/>
          <w:b/>
          <w:bCs/>
          <w:color w:val="auto"/>
          <w:sz w:val="22"/>
          <w:szCs w:val="22"/>
        </w:rPr>
        <w:t>R</w:t>
      </w:r>
      <w:r w:rsidR="00DA4B4F" w:rsidRPr="00646F81">
        <w:rPr>
          <w:rFonts w:asciiTheme="minorHAnsi" w:hAnsiTheme="minorHAnsi" w:cstheme="minorHAnsi"/>
          <w:b/>
          <w:bCs/>
          <w:color w:val="auto"/>
          <w:sz w:val="22"/>
          <w:szCs w:val="22"/>
        </w:rPr>
        <w:t>eceipt of Incentives</w:t>
      </w:r>
    </w:p>
    <w:p w14:paraId="31F06418" w14:textId="77777777" w:rsidR="003A35C1" w:rsidRPr="00646F81" w:rsidRDefault="003A35C1" w:rsidP="003A35C1">
      <w:pPr>
        <w:pStyle w:val="NoSpacing"/>
        <w:rPr>
          <w:rFonts w:cstheme="minorHAnsi"/>
        </w:rPr>
      </w:pPr>
      <w:bookmarkStart w:id="13" w:name="Sending_Incentives"/>
      <w:bookmarkEnd w:id="13"/>
    </w:p>
    <w:p w14:paraId="78647886" w14:textId="6D687801" w:rsidR="003A35C1" w:rsidRPr="00646F81" w:rsidRDefault="003A35C1" w:rsidP="0018493E">
      <w:pPr>
        <w:pStyle w:val="NoSpacing"/>
        <w:numPr>
          <w:ilvl w:val="0"/>
          <w:numId w:val="11"/>
        </w:numPr>
        <w:spacing w:after="240"/>
        <w:rPr>
          <w:rFonts w:cstheme="minorHAnsi"/>
          <w:b/>
        </w:rPr>
      </w:pPr>
      <w:r w:rsidRPr="00646F81">
        <w:rPr>
          <w:rFonts w:cstheme="minorHAnsi"/>
          <w:b/>
        </w:rPr>
        <w:t>Standard Canada Post Mail or alternative secure mailing service (</w:t>
      </w:r>
      <w:r w:rsidR="00B05F7E" w:rsidRPr="00646F81">
        <w:rPr>
          <w:rFonts w:cstheme="minorHAnsi"/>
          <w:b/>
        </w:rPr>
        <w:t xml:space="preserve">e.g., </w:t>
      </w:r>
      <w:r w:rsidRPr="00646F81">
        <w:rPr>
          <w:rFonts w:cstheme="minorHAnsi"/>
          <w:b/>
        </w:rPr>
        <w:t>UPS)</w:t>
      </w:r>
    </w:p>
    <w:p w14:paraId="24649182" w14:textId="77777777" w:rsidR="00B05F7E" w:rsidRPr="00646F81" w:rsidRDefault="00B05F7E" w:rsidP="0018493E">
      <w:pPr>
        <w:pStyle w:val="NoSpacing"/>
        <w:numPr>
          <w:ilvl w:val="0"/>
          <w:numId w:val="11"/>
        </w:numPr>
        <w:spacing w:after="240"/>
        <w:rPr>
          <w:rFonts w:cstheme="minorHAnsi"/>
          <w:b/>
        </w:rPr>
      </w:pPr>
      <w:r w:rsidRPr="00646F81">
        <w:rPr>
          <w:rFonts w:cstheme="minorHAnsi"/>
          <w:b/>
        </w:rPr>
        <w:lastRenderedPageBreak/>
        <w:t>Cellular Text Message/Automatic Notification</w:t>
      </w:r>
    </w:p>
    <w:p w14:paraId="684EAB87" w14:textId="77777777" w:rsidR="009F6166" w:rsidRPr="00646F81" w:rsidRDefault="00F63D16">
      <w:pPr>
        <w:pStyle w:val="NoSpacing"/>
        <w:numPr>
          <w:ilvl w:val="0"/>
          <w:numId w:val="11"/>
        </w:numPr>
        <w:rPr>
          <w:rFonts w:cstheme="minorHAnsi"/>
        </w:rPr>
      </w:pPr>
      <w:hyperlink r:id="rId28">
        <w:proofErr w:type="spellStart"/>
        <w:r w:rsidR="003A35C1" w:rsidRPr="00646F81">
          <w:rPr>
            <w:rStyle w:val="Hyperlink"/>
            <w:rFonts w:cstheme="minorHAnsi"/>
            <w:b/>
            <w:bCs/>
          </w:rPr>
          <w:t>Qualtrics</w:t>
        </w:r>
        <w:proofErr w:type="spellEnd"/>
      </w:hyperlink>
    </w:p>
    <w:p w14:paraId="1F191642" w14:textId="3B3F25ED" w:rsidR="003A35C1" w:rsidRPr="00646F81" w:rsidRDefault="00E75088" w:rsidP="0018493E">
      <w:pPr>
        <w:pStyle w:val="NoSpacing"/>
        <w:numPr>
          <w:ilvl w:val="1"/>
          <w:numId w:val="11"/>
        </w:numPr>
        <w:spacing w:after="240"/>
        <w:rPr>
          <w:rFonts w:cstheme="minorHAnsi"/>
        </w:rPr>
      </w:pPr>
      <w:r w:rsidRPr="00646F81">
        <w:rPr>
          <w:rFonts w:cstheme="minorHAnsi"/>
        </w:rPr>
        <w:t>Li</w:t>
      </w:r>
      <w:r w:rsidR="003A35C1" w:rsidRPr="00646F81">
        <w:rPr>
          <w:rFonts w:cstheme="minorHAnsi"/>
        </w:rPr>
        <w:t xml:space="preserve">nk </w:t>
      </w:r>
      <w:r w:rsidR="00DA4B4F" w:rsidRPr="00646F81">
        <w:rPr>
          <w:rFonts w:cstheme="minorHAnsi"/>
        </w:rPr>
        <w:t xml:space="preserve">at end of survey </w:t>
      </w:r>
      <w:r w:rsidR="003A35C1" w:rsidRPr="00646F81">
        <w:rPr>
          <w:rFonts w:cstheme="minorHAnsi"/>
        </w:rPr>
        <w:t>will take participants to a second survey where participants can enter their information for compensation (</w:t>
      </w:r>
      <w:r w:rsidR="00DA4B4F" w:rsidRPr="00646F81">
        <w:rPr>
          <w:rFonts w:cstheme="minorHAnsi"/>
        </w:rPr>
        <w:t xml:space="preserve">e.g., </w:t>
      </w:r>
      <w:r w:rsidR="003A35C1" w:rsidRPr="00646F81">
        <w:rPr>
          <w:rFonts w:cstheme="minorHAnsi"/>
        </w:rPr>
        <w:t>email, student information for credit)</w:t>
      </w:r>
      <w:r w:rsidR="000C2D5D">
        <w:rPr>
          <w:rFonts w:cstheme="minorHAnsi"/>
        </w:rPr>
        <w:t>.</w:t>
      </w:r>
    </w:p>
    <w:p w14:paraId="42E7670C" w14:textId="250D50F4" w:rsidR="009F6166" w:rsidRPr="00646F81" w:rsidRDefault="00F63D16">
      <w:pPr>
        <w:pStyle w:val="NoSpacing"/>
        <w:numPr>
          <w:ilvl w:val="0"/>
          <w:numId w:val="11"/>
        </w:numPr>
        <w:rPr>
          <w:rFonts w:cstheme="minorHAnsi"/>
        </w:rPr>
      </w:pPr>
      <w:hyperlink r:id="rId29">
        <w:r w:rsidR="00DA4B4F" w:rsidRPr="00646F81">
          <w:rPr>
            <w:rStyle w:val="Hyperlink"/>
            <w:rFonts w:cstheme="minorHAnsi"/>
            <w:b/>
          </w:rPr>
          <w:t>OneDrive</w:t>
        </w:r>
      </w:hyperlink>
      <w:r w:rsidR="00DA4B4F" w:rsidRPr="00646F81">
        <w:rPr>
          <w:rFonts w:cstheme="minorHAnsi"/>
          <w:b/>
        </w:rPr>
        <w:t xml:space="preserve"> </w:t>
      </w:r>
    </w:p>
    <w:p w14:paraId="7E3053A2" w14:textId="4E879837" w:rsidR="00DA4B4F" w:rsidRPr="00646F81" w:rsidRDefault="00DA4B4F" w:rsidP="0018493E">
      <w:pPr>
        <w:pStyle w:val="NoSpacing"/>
        <w:numPr>
          <w:ilvl w:val="1"/>
          <w:numId w:val="11"/>
        </w:numPr>
        <w:rPr>
          <w:rFonts w:cstheme="minorHAnsi"/>
        </w:rPr>
      </w:pPr>
      <w:r w:rsidRPr="00646F81">
        <w:rPr>
          <w:rFonts w:cstheme="minorHAnsi"/>
        </w:rPr>
        <w:t>Participants are provided with the link to a secure private folder with the receipt document. Participants can edit the document to insert their initials indicating they have received incentive.</w:t>
      </w:r>
    </w:p>
    <w:p w14:paraId="28ED9102" w14:textId="7D77BB14" w:rsidR="00B05F7E" w:rsidRPr="00646F81" w:rsidRDefault="00B05F7E" w:rsidP="0018493E">
      <w:pPr>
        <w:pStyle w:val="NoSpacing"/>
        <w:numPr>
          <w:ilvl w:val="0"/>
          <w:numId w:val="11"/>
        </w:numPr>
        <w:spacing w:before="240" w:after="240"/>
        <w:rPr>
          <w:rFonts w:cstheme="minorHAnsi"/>
          <w:b/>
        </w:rPr>
      </w:pPr>
      <w:r w:rsidRPr="00646F81">
        <w:rPr>
          <w:rFonts w:cstheme="minorHAnsi"/>
          <w:b/>
        </w:rPr>
        <w:t>Email Confirmation with secure file transfer as applicable</w:t>
      </w:r>
    </w:p>
    <w:p w14:paraId="64B934C4" w14:textId="77777777" w:rsidR="003A35C1" w:rsidRPr="00646F81" w:rsidRDefault="003A35C1" w:rsidP="4F93FA8C">
      <w:pPr>
        <w:pStyle w:val="Heading3"/>
        <w:rPr>
          <w:rFonts w:asciiTheme="minorHAnsi" w:hAnsiTheme="minorHAnsi" w:cstheme="minorHAnsi"/>
          <w:b/>
          <w:bCs/>
          <w:color w:val="auto"/>
          <w:sz w:val="22"/>
          <w:szCs w:val="22"/>
        </w:rPr>
      </w:pPr>
      <w:bookmarkStart w:id="14" w:name="Documenting_Incentives"/>
      <w:bookmarkEnd w:id="14"/>
      <w:r w:rsidRPr="00646F81">
        <w:rPr>
          <w:rFonts w:asciiTheme="minorHAnsi" w:hAnsiTheme="minorHAnsi" w:cstheme="minorHAnsi"/>
          <w:b/>
          <w:bCs/>
          <w:color w:val="auto"/>
          <w:sz w:val="22"/>
          <w:szCs w:val="22"/>
        </w:rPr>
        <w:t>Documenting Incentives</w:t>
      </w:r>
    </w:p>
    <w:p w14:paraId="0C9D51E7" w14:textId="4703316B" w:rsidR="003A35C1" w:rsidRPr="00646F81" w:rsidRDefault="003A35C1" w:rsidP="003A35C1">
      <w:pPr>
        <w:pStyle w:val="NoSpacing"/>
        <w:rPr>
          <w:rFonts w:cstheme="minorHAnsi"/>
        </w:rPr>
      </w:pPr>
      <w:r w:rsidRPr="00646F81">
        <w:rPr>
          <w:rFonts w:cstheme="minorHAnsi"/>
        </w:rPr>
        <w:t xml:space="preserve">Documentation of payments to research participants is mandatory as per Queen’s </w:t>
      </w:r>
      <w:hyperlink r:id="rId30">
        <w:r w:rsidRPr="00646F81">
          <w:rPr>
            <w:rStyle w:val="Hyperlink"/>
            <w:rFonts w:cstheme="minorHAnsi"/>
          </w:rPr>
          <w:t xml:space="preserve">Payments to Research Study </w:t>
        </w:r>
      </w:hyperlink>
      <w:hyperlink r:id="rId31">
        <w:r w:rsidRPr="00646F81">
          <w:rPr>
            <w:rStyle w:val="Hyperlink"/>
            <w:rFonts w:cstheme="minorHAnsi"/>
          </w:rPr>
          <w:t>Participants</w:t>
        </w:r>
      </w:hyperlink>
      <w:r w:rsidR="00E75088" w:rsidRPr="00646F81">
        <w:rPr>
          <w:rFonts w:cstheme="minorHAnsi"/>
        </w:rPr>
        <w:t xml:space="preserve"> p</w:t>
      </w:r>
      <w:r w:rsidRPr="00646F81">
        <w:rPr>
          <w:rFonts w:cstheme="minorHAnsi"/>
        </w:rPr>
        <w:t xml:space="preserve">olicy. </w:t>
      </w:r>
    </w:p>
    <w:sectPr w:rsidR="003A35C1" w:rsidRPr="00646F81" w:rsidSect="000C2D5D">
      <w:footerReference w:type="default" r:id="rId32"/>
      <w:headerReference w:type="first" r:id="rId33"/>
      <w:pgSz w:w="12240" w:h="15840"/>
      <w:pgMar w:top="700" w:right="620" w:bottom="280" w:left="60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85FFF" w14:textId="77777777" w:rsidR="00F63D16" w:rsidRDefault="00F63D16">
      <w:pPr>
        <w:spacing w:after="0" w:line="240" w:lineRule="auto"/>
      </w:pPr>
      <w:r>
        <w:separator/>
      </w:r>
    </w:p>
  </w:endnote>
  <w:endnote w:type="continuationSeparator" w:id="0">
    <w:p w14:paraId="66A2E26C" w14:textId="77777777" w:rsidR="00F63D16" w:rsidRDefault="00F6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192180"/>
      <w:docPartObj>
        <w:docPartGallery w:val="Page Numbers (Bottom of Page)"/>
        <w:docPartUnique/>
      </w:docPartObj>
    </w:sdtPr>
    <w:sdtEndPr>
      <w:rPr>
        <w:noProof/>
      </w:rPr>
    </w:sdtEndPr>
    <w:sdtContent>
      <w:p w14:paraId="7C509E1C" w14:textId="7F32EE9E" w:rsidR="00D175F4" w:rsidRDefault="00A54FBE">
        <w:pPr>
          <w:pStyle w:val="Footer"/>
          <w:jc w:val="right"/>
        </w:pPr>
        <w:r>
          <w:fldChar w:fldCharType="begin"/>
        </w:r>
        <w:r>
          <w:instrText xml:space="preserve"> PAGE   \* MERGEFORMAT </w:instrText>
        </w:r>
        <w:r>
          <w:fldChar w:fldCharType="separate"/>
        </w:r>
        <w:r w:rsidR="0077593C">
          <w:rPr>
            <w:noProof/>
          </w:rPr>
          <w:t>4</w:t>
        </w:r>
        <w:r>
          <w:rPr>
            <w:noProof/>
          </w:rPr>
          <w:fldChar w:fldCharType="end"/>
        </w:r>
      </w:p>
    </w:sdtContent>
  </w:sdt>
  <w:p w14:paraId="3BCE9C59" w14:textId="6AA2C640" w:rsidR="00D175F4" w:rsidRDefault="00A54FBE">
    <w:pPr>
      <w:pStyle w:val="Footer"/>
    </w:pPr>
    <w:r>
      <w:t>Virtual Guidelines - Guidance for R</w:t>
    </w:r>
    <w:r w:rsidR="00B05F7E">
      <w:t>eviewers</w:t>
    </w:r>
    <w:r>
      <w:t xml:space="preserve"> v.</w:t>
    </w:r>
    <w:r w:rsidR="00D27E62">
      <w:t>2021FEB01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EDAC2" w14:textId="77777777" w:rsidR="00F63D16" w:rsidRDefault="00F63D16">
      <w:pPr>
        <w:spacing w:after="0" w:line="240" w:lineRule="auto"/>
      </w:pPr>
      <w:r>
        <w:separator/>
      </w:r>
    </w:p>
  </w:footnote>
  <w:footnote w:type="continuationSeparator" w:id="0">
    <w:p w14:paraId="7CF296A4" w14:textId="77777777" w:rsidR="00F63D16" w:rsidRDefault="00F63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2E1F" w14:textId="2C28850C" w:rsidR="000C2D5D" w:rsidRDefault="000C2D5D" w:rsidP="000C2D5D">
    <w:pPr>
      <w:pStyle w:val="Header"/>
      <w:tabs>
        <w:tab w:val="center" w:pos="5510"/>
        <w:tab w:val="right" w:pos="11020"/>
      </w:tabs>
      <w:jc w:val="right"/>
    </w:pPr>
    <w:r>
      <w:tab/>
    </w:r>
    <w:r>
      <w:tab/>
    </w:r>
    <w:r>
      <w:rPr>
        <w:rFonts w:ascii="Times New Roman" w:eastAsia="Times New Roman" w:hAnsi="Times New Roman" w:cs="Times New Roman"/>
        <w:noProof/>
        <w:sz w:val="20"/>
        <w:szCs w:val="20"/>
      </w:rPr>
      <w:drawing>
        <wp:inline distT="0" distB="0" distL="0" distR="0" wp14:anchorId="4EFE62DB" wp14:editId="4AE69FF3">
          <wp:extent cx="1095375" cy="752539"/>
          <wp:effectExtent l="0" t="0" r="0"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03041" cy="7578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B55"/>
    <w:multiLevelType w:val="hybridMultilevel"/>
    <w:tmpl w:val="E7A2F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9450B"/>
    <w:multiLevelType w:val="hybridMultilevel"/>
    <w:tmpl w:val="AC14E79C"/>
    <w:lvl w:ilvl="0" w:tplc="F77E3CAE">
      <w:start w:val="1"/>
      <w:numFmt w:val="bullet"/>
      <w:lvlText w:val=""/>
      <w:lvlJc w:val="left"/>
      <w:pPr>
        <w:ind w:left="1440" w:hanging="360"/>
      </w:pPr>
      <w:rPr>
        <w:rFonts w:ascii="Wingdings" w:hAnsi="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025773"/>
    <w:multiLevelType w:val="hybridMultilevel"/>
    <w:tmpl w:val="B4B043F6"/>
    <w:lvl w:ilvl="0" w:tplc="8E0027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924BD8"/>
    <w:multiLevelType w:val="hybridMultilevel"/>
    <w:tmpl w:val="566ABB1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B60FE"/>
    <w:multiLevelType w:val="hybridMultilevel"/>
    <w:tmpl w:val="91CCD1DE"/>
    <w:lvl w:ilvl="0" w:tplc="EEF85838">
      <w:start w:val="1"/>
      <w:numFmt w:val="decimal"/>
      <w:lvlText w:val="%1."/>
      <w:lvlJc w:val="left"/>
      <w:pPr>
        <w:ind w:left="36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F58D1"/>
    <w:multiLevelType w:val="hybridMultilevel"/>
    <w:tmpl w:val="0FBA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141B7"/>
    <w:multiLevelType w:val="hybridMultilevel"/>
    <w:tmpl w:val="7C72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D2B85"/>
    <w:multiLevelType w:val="hybridMultilevel"/>
    <w:tmpl w:val="7992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741CB"/>
    <w:multiLevelType w:val="hybridMultilevel"/>
    <w:tmpl w:val="71BA51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A6D15"/>
    <w:multiLevelType w:val="hybridMultilevel"/>
    <w:tmpl w:val="9684DC5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07288"/>
    <w:multiLevelType w:val="hybridMultilevel"/>
    <w:tmpl w:val="A092AB12"/>
    <w:lvl w:ilvl="0" w:tplc="EEF85838">
      <w:start w:val="1"/>
      <w:numFmt w:val="decimal"/>
      <w:lvlText w:val="%1."/>
      <w:lvlJc w:val="left"/>
      <w:pPr>
        <w:ind w:left="36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63766"/>
    <w:multiLevelType w:val="hybridMultilevel"/>
    <w:tmpl w:val="14ECEF58"/>
    <w:lvl w:ilvl="0" w:tplc="1E52BB1E">
      <w:start w:val="1"/>
      <w:numFmt w:val="decimal"/>
      <w:lvlText w:val="%1."/>
      <w:lvlJc w:val="left"/>
      <w:pPr>
        <w:ind w:left="360" w:hanging="360"/>
      </w:pPr>
      <w:rPr>
        <w:b/>
        <w:i w:val="0"/>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845620"/>
    <w:multiLevelType w:val="hybridMultilevel"/>
    <w:tmpl w:val="9D50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853FF"/>
    <w:multiLevelType w:val="hybridMultilevel"/>
    <w:tmpl w:val="3278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B5928"/>
    <w:multiLevelType w:val="hybridMultilevel"/>
    <w:tmpl w:val="E8D48B18"/>
    <w:lvl w:ilvl="0" w:tplc="AF2810D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657ECE"/>
    <w:multiLevelType w:val="hybridMultilevel"/>
    <w:tmpl w:val="FFC6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44550"/>
    <w:multiLevelType w:val="hybridMultilevel"/>
    <w:tmpl w:val="D76834B4"/>
    <w:lvl w:ilvl="0" w:tplc="4B6AB4E0">
      <w:start w:val="1"/>
      <w:numFmt w:val="decimal"/>
      <w:lvlText w:val="%1."/>
      <w:lvlJc w:val="left"/>
      <w:pPr>
        <w:ind w:left="1530" w:hanging="360"/>
      </w:pPr>
      <w:rPr>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34B7268"/>
    <w:multiLevelType w:val="hybridMultilevel"/>
    <w:tmpl w:val="BDCE2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937B5"/>
    <w:multiLevelType w:val="hybridMultilevel"/>
    <w:tmpl w:val="47FE3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3"/>
  </w:num>
  <w:num w:numId="4">
    <w:abstractNumId w:val="13"/>
  </w:num>
  <w:num w:numId="5">
    <w:abstractNumId w:val="15"/>
  </w:num>
  <w:num w:numId="6">
    <w:abstractNumId w:val="6"/>
  </w:num>
  <w:num w:numId="7">
    <w:abstractNumId w:val="7"/>
  </w:num>
  <w:num w:numId="8">
    <w:abstractNumId w:val="5"/>
  </w:num>
  <w:num w:numId="9">
    <w:abstractNumId w:val="2"/>
  </w:num>
  <w:num w:numId="10">
    <w:abstractNumId w:val="17"/>
  </w:num>
  <w:num w:numId="11">
    <w:abstractNumId w:val="11"/>
  </w:num>
  <w:num w:numId="12">
    <w:abstractNumId w:val="4"/>
  </w:num>
  <w:num w:numId="13">
    <w:abstractNumId w:val="10"/>
  </w:num>
  <w:num w:numId="14">
    <w:abstractNumId w:val="14"/>
  </w:num>
  <w:num w:numId="15">
    <w:abstractNumId w:val="0"/>
  </w:num>
  <w:num w:numId="16">
    <w:abstractNumId w:val="9"/>
  </w:num>
  <w:num w:numId="17">
    <w:abstractNumId w:val="8"/>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C1"/>
    <w:rsid w:val="00083D74"/>
    <w:rsid w:val="000C163E"/>
    <w:rsid w:val="000C2D5D"/>
    <w:rsid w:val="0018493E"/>
    <w:rsid w:val="001859AB"/>
    <w:rsid w:val="001E6A88"/>
    <w:rsid w:val="002306BB"/>
    <w:rsid w:val="00265F6F"/>
    <w:rsid w:val="002A069D"/>
    <w:rsid w:val="002D7549"/>
    <w:rsid w:val="00326F2B"/>
    <w:rsid w:val="0033304A"/>
    <w:rsid w:val="0037704B"/>
    <w:rsid w:val="00377CA7"/>
    <w:rsid w:val="003A35C1"/>
    <w:rsid w:val="00420C2F"/>
    <w:rsid w:val="00554858"/>
    <w:rsid w:val="00575ADF"/>
    <w:rsid w:val="00646F81"/>
    <w:rsid w:val="00696E00"/>
    <w:rsid w:val="00736D55"/>
    <w:rsid w:val="00761DAE"/>
    <w:rsid w:val="00773A0E"/>
    <w:rsid w:val="0077593C"/>
    <w:rsid w:val="00795D1A"/>
    <w:rsid w:val="00800AD9"/>
    <w:rsid w:val="0080150F"/>
    <w:rsid w:val="00810855"/>
    <w:rsid w:val="008548CA"/>
    <w:rsid w:val="008620D9"/>
    <w:rsid w:val="00960701"/>
    <w:rsid w:val="009B519B"/>
    <w:rsid w:val="009B64D8"/>
    <w:rsid w:val="009D1E4A"/>
    <w:rsid w:val="009D531C"/>
    <w:rsid w:val="009F6166"/>
    <w:rsid w:val="009F6336"/>
    <w:rsid w:val="00A1348D"/>
    <w:rsid w:val="00A54FBE"/>
    <w:rsid w:val="00A63C78"/>
    <w:rsid w:val="00B05F7E"/>
    <w:rsid w:val="00BD634F"/>
    <w:rsid w:val="00BD6E7C"/>
    <w:rsid w:val="00BF7821"/>
    <w:rsid w:val="00C42B08"/>
    <w:rsid w:val="00CA22A3"/>
    <w:rsid w:val="00CB5540"/>
    <w:rsid w:val="00CD4EE6"/>
    <w:rsid w:val="00CE3799"/>
    <w:rsid w:val="00CF2F5E"/>
    <w:rsid w:val="00D077BC"/>
    <w:rsid w:val="00D27E62"/>
    <w:rsid w:val="00D468D0"/>
    <w:rsid w:val="00D712B1"/>
    <w:rsid w:val="00D74B3A"/>
    <w:rsid w:val="00DA06EF"/>
    <w:rsid w:val="00DA4B4F"/>
    <w:rsid w:val="00DC451D"/>
    <w:rsid w:val="00DD725B"/>
    <w:rsid w:val="00E139F1"/>
    <w:rsid w:val="00E70674"/>
    <w:rsid w:val="00E75088"/>
    <w:rsid w:val="00E8376B"/>
    <w:rsid w:val="00E85943"/>
    <w:rsid w:val="00EA224E"/>
    <w:rsid w:val="00F63D16"/>
    <w:rsid w:val="00F75DF4"/>
    <w:rsid w:val="00F947A0"/>
    <w:rsid w:val="00FC611E"/>
    <w:rsid w:val="02EC1E24"/>
    <w:rsid w:val="0A19A8AF"/>
    <w:rsid w:val="0B51E0E5"/>
    <w:rsid w:val="366FD57C"/>
    <w:rsid w:val="3E11F93B"/>
    <w:rsid w:val="4F66FB4B"/>
    <w:rsid w:val="4F93FA8C"/>
    <w:rsid w:val="61EECF23"/>
    <w:rsid w:val="6C74FBD0"/>
    <w:rsid w:val="7392C7B3"/>
    <w:rsid w:val="73AAC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4CA2"/>
  <w15:chartTrackingRefBased/>
  <w15:docId w15:val="{C16D5A6E-39BC-42C0-902E-DA16B62E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35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35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A35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A35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35C1"/>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3A35C1"/>
    <w:rPr>
      <w:rFonts w:ascii="Calibri" w:eastAsia="Calibri" w:hAnsi="Calibri" w:cs="Calibri"/>
    </w:rPr>
  </w:style>
  <w:style w:type="character" w:styleId="Hyperlink">
    <w:name w:val="Hyperlink"/>
    <w:basedOn w:val="DefaultParagraphFont"/>
    <w:uiPriority w:val="99"/>
    <w:unhideWhenUsed/>
    <w:rsid w:val="003A35C1"/>
    <w:rPr>
      <w:color w:val="0563C1" w:themeColor="hyperlink"/>
      <w:u w:val="single"/>
    </w:rPr>
  </w:style>
  <w:style w:type="character" w:customStyle="1" w:styleId="UnresolvedMention1">
    <w:name w:val="Unresolved Mention1"/>
    <w:basedOn w:val="DefaultParagraphFont"/>
    <w:uiPriority w:val="99"/>
    <w:semiHidden/>
    <w:unhideWhenUsed/>
    <w:rsid w:val="003A35C1"/>
    <w:rPr>
      <w:color w:val="605E5C"/>
      <w:shd w:val="clear" w:color="auto" w:fill="E1DFDD"/>
    </w:rPr>
  </w:style>
  <w:style w:type="paragraph" w:styleId="NoSpacing">
    <w:name w:val="No Spacing"/>
    <w:uiPriority w:val="1"/>
    <w:qFormat/>
    <w:rsid w:val="003A35C1"/>
    <w:pPr>
      <w:spacing w:after="0" w:line="240" w:lineRule="auto"/>
    </w:pPr>
  </w:style>
  <w:style w:type="character" w:customStyle="1" w:styleId="Heading1Char">
    <w:name w:val="Heading 1 Char"/>
    <w:basedOn w:val="DefaultParagraphFont"/>
    <w:link w:val="Heading1"/>
    <w:uiPriority w:val="9"/>
    <w:rsid w:val="003A35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A35C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A35C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A35C1"/>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55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858"/>
    <w:rPr>
      <w:rFonts w:ascii="Segoe UI" w:hAnsi="Segoe UI" w:cs="Segoe UI"/>
      <w:sz w:val="18"/>
      <w:szCs w:val="18"/>
    </w:rPr>
  </w:style>
  <w:style w:type="character" w:customStyle="1" w:styleId="UnresolvedMention2">
    <w:name w:val="Unresolved Mention2"/>
    <w:basedOn w:val="DefaultParagraphFont"/>
    <w:uiPriority w:val="99"/>
    <w:semiHidden/>
    <w:unhideWhenUsed/>
    <w:rsid w:val="002A069D"/>
    <w:rPr>
      <w:color w:val="605E5C"/>
      <w:shd w:val="clear" w:color="auto" w:fill="E1DFDD"/>
    </w:rPr>
  </w:style>
  <w:style w:type="character" w:styleId="FollowedHyperlink">
    <w:name w:val="FollowedHyperlink"/>
    <w:basedOn w:val="DefaultParagraphFont"/>
    <w:uiPriority w:val="99"/>
    <w:semiHidden/>
    <w:unhideWhenUsed/>
    <w:rsid w:val="00DA4B4F"/>
    <w:rPr>
      <w:color w:val="954F72" w:themeColor="followedHyperlink"/>
      <w:u w:val="single"/>
    </w:rPr>
  </w:style>
  <w:style w:type="paragraph" w:styleId="Header">
    <w:name w:val="header"/>
    <w:basedOn w:val="Normal"/>
    <w:link w:val="HeaderChar"/>
    <w:uiPriority w:val="99"/>
    <w:unhideWhenUsed/>
    <w:rsid w:val="00B05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F7E"/>
  </w:style>
  <w:style w:type="character" w:styleId="CommentReference">
    <w:name w:val="annotation reference"/>
    <w:basedOn w:val="DefaultParagraphFont"/>
    <w:uiPriority w:val="99"/>
    <w:semiHidden/>
    <w:unhideWhenUsed/>
    <w:rsid w:val="009D531C"/>
    <w:rPr>
      <w:sz w:val="16"/>
      <w:szCs w:val="16"/>
    </w:rPr>
  </w:style>
  <w:style w:type="paragraph" w:styleId="CommentText">
    <w:name w:val="annotation text"/>
    <w:basedOn w:val="Normal"/>
    <w:link w:val="CommentTextChar"/>
    <w:uiPriority w:val="99"/>
    <w:semiHidden/>
    <w:unhideWhenUsed/>
    <w:rsid w:val="009D531C"/>
    <w:pPr>
      <w:spacing w:line="240" w:lineRule="auto"/>
    </w:pPr>
    <w:rPr>
      <w:sz w:val="20"/>
      <w:szCs w:val="20"/>
    </w:rPr>
  </w:style>
  <w:style w:type="character" w:customStyle="1" w:styleId="CommentTextChar">
    <w:name w:val="Comment Text Char"/>
    <w:basedOn w:val="DefaultParagraphFont"/>
    <w:link w:val="CommentText"/>
    <w:uiPriority w:val="99"/>
    <w:semiHidden/>
    <w:rsid w:val="009D531C"/>
    <w:rPr>
      <w:sz w:val="20"/>
      <w:szCs w:val="20"/>
    </w:rPr>
  </w:style>
  <w:style w:type="paragraph" w:styleId="CommentSubject">
    <w:name w:val="annotation subject"/>
    <w:basedOn w:val="CommentText"/>
    <w:next w:val="CommentText"/>
    <w:link w:val="CommentSubjectChar"/>
    <w:uiPriority w:val="99"/>
    <w:semiHidden/>
    <w:unhideWhenUsed/>
    <w:rsid w:val="009D531C"/>
    <w:rPr>
      <w:b/>
      <w:bCs/>
    </w:rPr>
  </w:style>
  <w:style w:type="character" w:customStyle="1" w:styleId="CommentSubjectChar">
    <w:name w:val="Comment Subject Char"/>
    <w:basedOn w:val="CommentTextChar"/>
    <w:link w:val="CommentSubject"/>
    <w:uiPriority w:val="99"/>
    <w:semiHidden/>
    <w:rsid w:val="009D531C"/>
    <w:rPr>
      <w:b/>
      <w:bCs/>
      <w:sz w:val="20"/>
      <w:szCs w:val="20"/>
    </w:rPr>
  </w:style>
  <w:style w:type="character" w:customStyle="1" w:styleId="UnresolvedMention3">
    <w:name w:val="Unresolved Mention3"/>
    <w:basedOn w:val="DefaultParagraphFont"/>
    <w:uiPriority w:val="99"/>
    <w:semiHidden/>
    <w:unhideWhenUsed/>
    <w:rsid w:val="00FC611E"/>
    <w:rPr>
      <w:color w:val="605E5C"/>
      <w:shd w:val="clear" w:color="auto" w:fill="E1DFDD"/>
    </w:rPr>
  </w:style>
  <w:style w:type="paragraph" w:styleId="ListParagraph">
    <w:name w:val="List Paragraph"/>
    <w:basedOn w:val="Normal"/>
    <w:uiPriority w:val="34"/>
    <w:qFormat/>
    <w:rsid w:val="0037704B"/>
    <w:pPr>
      <w:ind w:left="720"/>
      <w:contextualSpacing/>
    </w:pPr>
  </w:style>
  <w:style w:type="table" w:styleId="TableGrid">
    <w:name w:val="Table Grid"/>
    <w:basedOn w:val="TableNormal"/>
    <w:uiPriority w:val="39"/>
    <w:rsid w:val="000C163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8376B"/>
    <w:pPr>
      <w:widowControl w:val="0"/>
      <w:spacing w:after="0" w:line="240" w:lineRule="auto"/>
      <w:ind w:left="106"/>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837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91250">
      <w:bodyDiv w:val="1"/>
      <w:marLeft w:val="0"/>
      <w:marRight w:val="0"/>
      <w:marTop w:val="0"/>
      <w:marBottom w:val="0"/>
      <w:divBdr>
        <w:top w:val="none" w:sz="0" w:space="0" w:color="auto"/>
        <w:left w:val="none" w:sz="0" w:space="0" w:color="auto"/>
        <w:bottom w:val="none" w:sz="0" w:space="0" w:color="auto"/>
        <w:right w:val="none" w:sz="0" w:space="0" w:color="auto"/>
      </w:divBdr>
    </w:div>
    <w:div w:id="710151115">
      <w:bodyDiv w:val="1"/>
      <w:marLeft w:val="0"/>
      <w:marRight w:val="0"/>
      <w:marTop w:val="0"/>
      <w:marBottom w:val="0"/>
      <w:divBdr>
        <w:top w:val="none" w:sz="0" w:space="0" w:color="auto"/>
        <w:left w:val="none" w:sz="0" w:space="0" w:color="auto"/>
        <w:bottom w:val="none" w:sz="0" w:space="0" w:color="auto"/>
        <w:right w:val="none" w:sz="0" w:space="0" w:color="auto"/>
      </w:divBdr>
    </w:div>
    <w:div w:id="1194803875">
      <w:bodyDiv w:val="1"/>
      <w:marLeft w:val="0"/>
      <w:marRight w:val="0"/>
      <w:marTop w:val="0"/>
      <w:marBottom w:val="0"/>
      <w:divBdr>
        <w:top w:val="none" w:sz="0" w:space="0" w:color="auto"/>
        <w:left w:val="none" w:sz="0" w:space="0" w:color="auto"/>
        <w:bottom w:val="none" w:sz="0" w:space="0" w:color="auto"/>
        <w:right w:val="none" w:sz="0" w:space="0" w:color="auto"/>
      </w:divBdr>
    </w:div>
    <w:div w:id="1306281798">
      <w:bodyDiv w:val="1"/>
      <w:marLeft w:val="0"/>
      <w:marRight w:val="0"/>
      <w:marTop w:val="0"/>
      <w:marBottom w:val="0"/>
      <w:divBdr>
        <w:top w:val="none" w:sz="0" w:space="0" w:color="auto"/>
        <w:left w:val="none" w:sz="0" w:space="0" w:color="auto"/>
        <w:bottom w:val="none" w:sz="0" w:space="0" w:color="auto"/>
        <w:right w:val="none" w:sz="0" w:space="0" w:color="auto"/>
      </w:divBdr>
      <w:divsChild>
        <w:div w:id="2062746913">
          <w:marLeft w:val="0"/>
          <w:marRight w:val="0"/>
          <w:marTop w:val="0"/>
          <w:marBottom w:val="0"/>
          <w:divBdr>
            <w:top w:val="none" w:sz="0" w:space="0" w:color="auto"/>
            <w:left w:val="none" w:sz="0" w:space="0" w:color="auto"/>
            <w:bottom w:val="none" w:sz="0" w:space="0" w:color="auto"/>
            <w:right w:val="none" w:sz="0" w:space="0" w:color="auto"/>
          </w:divBdr>
          <w:divsChild>
            <w:div w:id="3476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6058">
      <w:bodyDiv w:val="1"/>
      <w:marLeft w:val="0"/>
      <w:marRight w:val="0"/>
      <w:marTop w:val="0"/>
      <w:marBottom w:val="0"/>
      <w:divBdr>
        <w:top w:val="none" w:sz="0" w:space="0" w:color="auto"/>
        <w:left w:val="none" w:sz="0" w:space="0" w:color="auto"/>
        <w:bottom w:val="none" w:sz="0" w:space="0" w:color="auto"/>
        <w:right w:val="none" w:sz="0" w:space="0" w:color="auto"/>
      </w:divBdr>
    </w:div>
    <w:div w:id="19281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health-canada/services/drugs-health-products/drug-products/announcements/management-clinical-trials-during-covid-19-pandemic.html" TargetMode="External"/><Relationship Id="rId13" Type="http://schemas.openxmlformats.org/officeDocument/2006/relationships/hyperlink" Target="https://www.queensu.ca/vpr/sites/vprwww/files/uploaded_files/Ethics/HSREB%20Verbal%20Letter%20of%20Information%20and%20Verbal%20Script%20Template%202020JUL28%20FINAL.docx" TargetMode="External"/><Relationship Id="rId18" Type="http://schemas.openxmlformats.org/officeDocument/2006/relationships/hyperlink" Target="https://www.queensu.ca/its/microsoft-office-365/teams/tutorials/meetings-teams" TargetMode="External"/><Relationship Id="rId26" Type="http://schemas.openxmlformats.org/officeDocument/2006/relationships/hyperlink" Target="https://www.queensu.ca/its/security/policies-and-procedures/data-classification-standard" TargetMode="External"/><Relationship Id="rId3" Type="http://schemas.openxmlformats.org/officeDocument/2006/relationships/styles" Target="styles.xml"/><Relationship Id="rId21" Type="http://schemas.openxmlformats.org/officeDocument/2006/relationships/hyperlink" Target="https://www.queensu.ca/its/microsoft-office-365/teams/tutorials/meetings-team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queensu.ca/planningandbudget/surveytool" TargetMode="External"/><Relationship Id="rId17" Type="http://schemas.openxmlformats.org/officeDocument/2006/relationships/hyperlink" Target="https://www.queensu.ca/its/microsoft-office-365/teams/tutorials/meetings-teams" TargetMode="External"/><Relationship Id="rId25" Type="http://schemas.openxmlformats.org/officeDocument/2006/relationships/hyperlink" Target="https://www.queensu.ca/its/security/security-services/authorization-operat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queensu.ca/its/microsoft-office-365/teams/tutorials/meetings-teams" TargetMode="External"/><Relationship Id="rId20" Type="http://schemas.openxmlformats.org/officeDocument/2006/relationships/hyperlink" Target="https://www.queensu.ca/its/microsoft-office-365/teams/tutorials/meetings-teams" TargetMode="External"/><Relationship Id="rId29" Type="http://schemas.openxmlformats.org/officeDocument/2006/relationships/hyperlink" Target="https://www.queensu.ca/its/microsoft-office-365/onedrive-busi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its/microsoft-office-365/onedrive-business" TargetMode="External"/><Relationship Id="rId24" Type="http://schemas.openxmlformats.org/officeDocument/2006/relationships/hyperlink" Target="https://zoom.us/securit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queensu.ca/its/microsoft-office-365/teams" TargetMode="External"/><Relationship Id="rId23" Type="http://schemas.openxmlformats.org/officeDocument/2006/relationships/hyperlink" Target="https://www.queensu.ca/its/zoom" TargetMode="External"/><Relationship Id="rId28" Type="http://schemas.openxmlformats.org/officeDocument/2006/relationships/hyperlink" Target="https://www.queensu.ca/planningandbudget/surveytool" TargetMode="External"/><Relationship Id="rId10" Type="http://schemas.openxmlformats.org/officeDocument/2006/relationships/hyperlink" Target="https://www.hhs.gov/ohrp/regulations-and-policy/guidance/ohrp-guidance-on-covid-19/index.html" TargetMode="External"/><Relationship Id="rId19" Type="http://schemas.openxmlformats.org/officeDocument/2006/relationships/hyperlink" Target="https://www.queensu.ca/its/microsoft-office-365/teams/tutorials/meetings-teams" TargetMode="External"/><Relationship Id="rId31" Type="http://schemas.openxmlformats.org/officeDocument/2006/relationships/hyperlink" Target="https://www.queensu.ca/secretariat/policies/finance/payments-research-study-participants/" TargetMode="External"/><Relationship Id="rId4" Type="http://schemas.openxmlformats.org/officeDocument/2006/relationships/settings" Target="settings.xml"/><Relationship Id="rId9" Type="http://schemas.openxmlformats.org/officeDocument/2006/relationships/hyperlink" Target="https://www.fda.gov/regulatory-information/search-fda-guidance-documents/fda-guidance-conduct-clinical-trials-medical-products-during-covid-19-public-health-emergency" TargetMode="External"/><Relationship Id="rId14" Type="http://schemas.openxmlformats.org/officeDocument/2006/relationships/hyperlink" Target="https://www.queensu.ca/vpr/sites/vprwww/files/uploaded_files/Ethics/Verbal%20Consent%20Log%20Template%202020FEB06.docx" TargetMode="External"/><Relationship Id="rId22" Type="http://schemas.openxmlformats.org/officeDocument/2006/relationships/hyperlink" Target="https://www.queensu.ca/its/microsoft-office-365/teams/tutorials/meetings-teams" TargetMode="External"/><Relationship Id="rId27" Type="http://schemas.openxmlformats.org/officeDocument/2006/relationships/hyperlink" Target="https://www.queensu.ca/its/security/policies-and-procedures/data-classification-standard" TargetMode="External"/><Relationship Id="rId30" Type="http://schemas.openxmlformats.org/officeDocument/2006/relationships/hyperlink" Target="https://www.queensu.ca/secretariat/policies/finance/payments-research-study-participant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0B96E-9C97-4DCC-AD7C-0D97C636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Walker</dc:creator>
  <cp:keywords/>
  <dc:description/>
  <cp:lastModifiedBy>Jennifer Couture</cp:lastModifiedBy>
  <cp:revision>3</cp:revision>
  <dcterms:created xsi:type="dcterms:W3CDTF">2021-02-02T17:20:00Z</dcterms:created>
  <dcterms:modified xsi:type="dcterms:W3CDTF">2021-02-02T17:20:00Z</dcterms:modified>
</cp:coreProperties>
</file>