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3D0B1C" w14:textId="77777777" w:rsidR="00710F7E" w:rsidRPr="0027672B" w:rsidRDefault="00710F7E" w:rsidP="00710F7E">
      <w:pPr>
        <w:pStyle w:val="NoSpacing"/>
        <w:jc w:val="center"/>
        <w:rPr>
          <w:rFonts w:ascii="Arial" w:hAnsi="Arial" w:cs="Arial"/>
          <w:b/>
        </w:rPr>
      </w:pPr>
      <w:r w:rsidRPr="0027672B">
        <w:rPr>
          <w:rFonts w:ascii="Arial" w:hAnsi="Arial" w:cs="Arial"/>
          <w:b/>
        </w:rPr>
        <w:t>Quality Assurance (QA) and Quality Improvement (QI) Studies</w:t>
      </w:r>
    </w:p>
    <w:p w14:paraId="08E024DE" w14:textId="77777777" w:rsidR="00710F7E" w:rsidRPr="0027672B" w:rsidRDefault="00710F7E" w:rsidP="00710F7E">
      <w:pPr>
        <w:pStyle w:val="NoSpacing"/>
        <w:rPr>
          <w:rFonts w:ascii="Arial" w:hAnsi="Arial" w:cs="Arial"/>
          <w:b/>
        </w:rPr>
      </w:pPr>
    </w:p>
    <w:p w14:paraId="19F30E26" w14:textId="77777777" w:rsidR="00710F7E" w:rsidRPr="0027672B" w:rsidRDefault="00710F7E" w:rsidP="00710F7E">
      <w:pPr>
        <w:pStyle w:val="NoSpacing"/>
        <w:rPr>
          <w:rFonts w:ascii="Arial" w:hAnsi="Arial" w:cs="Arial"/>
          <w:b/>
          <w:u w:val="single"/>
        </w:rPr>
      </w:pPr>
      <w:r w:rsidRPr="0027672B">
        <w:rPr>
          <w:rFonts w:ascii="Arial" w:hAnsi="Arial" w:cs="Arial"/>
          <w:b/>
          <w:u w:val="single"/>
        </w:rPr>
        <w:t>What is QA/QI?</w:t>
      </w:r>
    </w:p>
    <w:p w14:paraId="1C7295CF" w14:textId="77777777" w:rsidR="00710F7E" w:rsidRPr="0027672B" w:rsidRDefault="00710F7E" w:rsidP="00710F7E">
      <w:pPr>
        <w:pStyle w:val="NoSpacing"/>
        <w:rPr>
          <w:rFonts w:ascii="Arial" w:hAnsi="Arial" w:cs="Arial"/>
          <w:b/>
        </w:rPr>
      </w:pPr>
    </w:p>
    <w:p w14:paraId="72E9DD0B" w14:textId="77777777" w:rsidR="00710F7E" w:rsidRPr="0027672B" w:rsidRDefault="00710F7E" w:rsidP="00710F7E">
      <w:pPr>
        <w:pStyle w:val="NoSpacing"/>
        <w:rPr>
          <w:rFonts w:ascii="Arial" w:hAnsi="Arial" w:cs="Arial"/>
        </w:rPr>
      </w:pPr>
      <w:r w:rsidRPr="0027672B">
        <w:rPr>
          <w:rFonts w:ascii="Arial" w:hAnsi="Arial" w:cs="Arial"/>
        </w:rPr>
        <w:t>Quality Assurance and Quality Improvement (QA/QI) studies are projects undertaken to assess the performance of a program, organization, group, faculty, or department. QA/QI projects are conducted internally and for operational and/or administrative purposes.</w:t>
      </w:r>
    </w:p>
    <w:p w14:paraId="10D1EDB4" w14:textId="77777777" w:rsidR="00710F7E" w:rsidRPr="0027672B" w:rsidRDefault="00710F7E" w:rsidP="00710F7E">
      <w:pPr>
        <w:pStyle w:val="NoSpacing"/>
        <w:rPr>
          <w:rFonts w:ascii="Arial" w:hAnsi="Arial" w:cs="Arial"/>
        </w:rPr>
      </w:pPr>
    </w:p>
    <w:p w14:paraId="6098CBDC" w14:textId="77777777" w:rsidR="00710F7E" w:rsidRPr="0027672B" w:rsidRDefault="00710F7E" w:rsidP="00710F7E">
      <w:pPr>
        <w:pStyle w:val="NoSpacing"/>
        <w:rPr>
          <w:rFonts w:ascii="Arial" w:hAnsi="Arial" w:cs="Arial"/>
        </w:rPr>
      </w:pPr>
      <w:r w:rsidRPr="0027672B">
        <w:rPr>
          <w:rFonts w:ascii="Arial" w:hAnsi="Arial" w:cs="Arial"/>
          <w:b/>
        </w:rPr>
        <w:t xml:space="preserve">Although QA/QI studies might use methods and techniques </w:t>
      </w:r>
      <w:proofErr w:type="gramStart"/>
      <w:r w:rsidRPr="0027672B">
        <w:rPr>
          <w:rFonts w:ascii="Arial" w:hAnsi="Arial" w:cs="Arial"/>
          <w:b/>
        </w:rPr>
        <w:t>similar to</w:t>
      </w:r>
      <w:proofErr w:type="gramEnd"/>
      <w:r w:rsidRPr="0027672B">
        <w:rPr>
          <w:rFonts w:ascii="Arial" w:hAnsi="Arial" w:cs="Arial"/>
          <w:b/>
        </w:rPr>
        <w:t xml:space="preserve"> those traditionally employed in research (e.g., surveys, interviews, data analysis, etc.), they are used exclusively for management, assessment, or improvement </w:t>
      </w:r>
      <w:r w:rsidRPr="0027672B">
        <w:rPr>
          <w:rFonts w:ascii="Arial" w:hAnsi="Arial" w:cs="Arial"/>
          <w:b/>
          <w:u w:val="single"/>
        </w:rPr>
        <w:t>within an organization.</w:t>
      </w:r>
      <w:r w:rsidRPr="0027672B">
        <w:rPr>
          <w:rFonts w:ascii="Arial" w:hAnsi="Arial" w:cs="Arial"/>
        </w:rPr>
        <w:t xml:space="preserve"> </w:t>
      </w:r>
      <w:r w:rsidRPr="003501D5">
        <w:rPr>
          <w:rFonts w:ascii="Arial" w:hAnsi="Arial" w:cs="Arial"/>
        </w:rPr>
        <w:t>QA/QI activities are designed solely for internal purposes, with no</w:t>
      </w:r>
      <w:r>
        <w:rPr>
          <w:rFonts w:ascii="Arial" w:hAnsi="Arial" w:cs="Arial"/>
        </w:rPr>
        <w:t xml:space="preserve"> intention for</w:t>
      </w:r>
      <w:r w:rsidRPr="003501D5">
        <w:rPr>
          <w:rFonts w:ascii="Arial" w:hAnsi="Arial" w:cs="Arial"/>
        </w:rPr>
        <w:t xml:space="preserve"> external application or </w:t>
      </w:r>
      <w:r>
        <w:rPr>
          <w:rFonts w:ascii="Arial" w:hAnsi="Arial" w:cs="Arial"/>
        </w:rPr>
        <w:t xml:space="preserve">distribution. </w:t>
      </w:r>
      <w:r w:rsidRPr="0027672B">
        <w:rPr>
          <w:rFonts w:ascii="Arial" w:hAnsi="Arial" w:cs="Arial"/>
        </w:rPr>
        <w:t xml:space="preserve">Examples of QA/QI projects </w:t>
      </w:r>
      <w:r>
        <w:rPr>
          <w:rFonts w:ascii="Arial" w:hAnsi="Arial" w:cs="Arial"/>
        </w:rPr>
        <w:t xml:space="preserve">may </w:t>
      </w:r>
      <w:r w:rsidRPr="0027672B">
        <w:rPr>
          <w:rFonts w:ascii="Arial" w:hAnsi="Arial" w:cs="Arial"/>
        </w:rPr>
        <w:t xml:space="preserve">include performance reviews, course evaluations, or data collection for internal organizational reports. </w:t>
      </w:r>
    </w:p>
    <w:p w14:paraId="60D19CF9" w14:textId="77777777" w:rsidR="00710F7E" w:rsidRPr="0027672B" w:rsidRDefault="00710F7E" w:rsidP="00710F7E">
      <w:pPr>
        <w:pStyle w:val="NoSpacing"/>
        <w:rPr>
          <w:rFonts w:ascii="Arial" w:hAnsi="Arial" w:cs="Arial"/>
        </w:rPr>
      </w:pPr>
    </w:p>
    <w:p w14:paraId="647FE56E" w14:textId="160355DA" w:rsidR="00710F7E" w:rsidRPr="0027672B" w:rsidRDefault="00710F7E" w:rsidP="00710F7E">
      <w:pPr>
        <w:pStyle w:val="NoSpacing"/>
        <w:rPr>
          <w:rFonts w:ascii="Arial" w:hAnsi="Arial" w:cs="Arial"/>
        </w:rPr>
      </w:pPr>
      <w:r w:rsidRPr="0027672B">
        <w:rPr>
          <w:rFonts w:ascii="Arial" w:hAnsi="Arial" w:cs="Arial"/>
        </w:rPr>
        <w:t xml:space="preserve">QA/QI studies are listed in the </w:t>
      </w:r>
      <w:hyperlink r:id="rId7" w:history="1">
        <w:r w:rsidRPr="0027672B">
          <w:rPr>
            <w:rStyle w:val="Hyperlink"/>
            <w:rFonts w:ascii="Arial" w:hAnsi="Arial" w:cs="Arial"/>
            <w:b/>
          </w:rPr>
          <w:t>Tri-Council Policy Statement: Ethical Conduct for Research Involving Humans (TCPS 2 2014)</w:t>
        </w:r>
      </w:hyperlink>
      <w:r w:rsidRPr="0027672B">
        <w:rPr>
          <w:rFonts w:ascii="Arial" w:hAnsi="Arial" w:cs="Arial"/>
          <w:b/>
        </w:rPr>
        <w:t xml:space="preserve"> </w:t>
      </w:r>
      <w:r w:rsidRPr="0027672B">
        <w:rPr>
          <w:rFonts w:ascii="Arial" w:hAnsi="Arial" w:cs="Arial"/>
        </w:rPr>
        <w:t xml:space="preserve">under </w:t>
      </w:r>
      <w:r w:rsidRPr="0027672B">
        <w:rPr>
          <w:rFonts w:ascii="Arial" w:hAnsi="Arial" w:cs="Arial"/>
          <w:b/>
        </w:rPr>
        <w:t>Activities Not Requiring REB Review</w:t>
      </w:r>
      <w:r w:rsidRPr="0027672B">
        <w:rPr>
          <w:rFonts w:ascii="Arial" w:hAnsi="Arial" w:cs="Arial"/>
        </w:rPr>
        <w:t>. As the TCPS2 states:</w:t>
      </w:r>
    </w:p>
    <w:p w14:paraId="19919929" w14:textId="77777777" w:rsidR="00710F7E" w:rsidRPr="0027672B" w:rsidRDefault="00710F7E" w:rsidP="00710F7E">
      <w:pPr>
        <w:pStyle w:val="NoSpacing"/>
        <w:rPr>
          <w:rFonts w:ascii="Arial" w:hAnsi="Arial" w:cs="Arial"/>
        </w:rPr>
      </w:pPr>
    </w:p>
    <w:p w14:paraId="01AD7877" w14:textId="77777777" w:rsidR="00710F7E" w:rsidRPr="0027672B" w:rsidRDefault="00710F7E" w:rsidP="00710F7E">
      <w:pPr>
        <w:pStyle w:val="NoSpacing"/>
        <w:rPr>
          <w:rFonts w:ascii="Arial" w:hAnsi="Arial" w:cs="Arial"/>
        </w:rPr>
      </w:pPr>
      <w:r w:rsidRPr="0027672B">
        <w:rPr>
          <w:rFonts w:ascii="Arial" w:hAnsi="Arial" w:cs="Arial"/>
          <w:i/>
        </w:rPr>
        <w:t xml:space="preserve">“Quality assurance and quality improvement studies, program evaluation activities, and performance reviews, or testing within normal educational requirements when used exclusively for assessment, management or improvement purposes, do not constitute research for the purposes of this Policy, and do not fall within the scope of REB review.”  </w:t>
      </w:r>
      <w:r w:rsidRPr="0027672B">
        <w:rPr>
          <w:rFonts w:ascii="Arial" w:hAnsi="Arial" w:cs="Arial"/>
        </w:rPr>
        <w:t>(TCPS 2 2014, Article 2.5.)</w:t>
      </w:r>
    </w:p>
    <w:p w14:paraId="76F3140A" w14:textId="77777777" w:rsidR="00710F7E" w:rsidRPr="0027672B" w:rsidRDefault="00710F7E" w:rsidP="00710F7E">
      <w:pPr>
        <w:pStyle w:val="NoSpacing"/>
        <w:rPr>
          <w:rFonts w:ascii="Arial" w:hAnsi="Arial" w:cs="Arial"/>
          <w:u w:val="single"/>
        </w:rPr>
      </w:pPr>
    </w:p>
    <w:p w14:paraId="6654C748" w14:textId="77777777" w:rsidR="00710F7E" w:rsidRPr="0027672B" w:rsidRDefault="00710F7E" w:rsidP="00710F7E">
      <w:pPr>
        <w:pStyle w:val="NoSpacing"/>
        <w:rPr>
          <w:rFonts w:ascii="Arial" w:hAnsi="Arial" w:cs="Arial"/>
          <w:b/>
          <w:u w:val="single"/>
        </w:rPr>
      </w:pPr>
      <w:r w:rsidRPr="0027672B">
        <w:rPr>
          <w:rFonts w:ascii="Arial" w:hAnsi="Arial" w:cs="Arial"/>
          <w:b/>
          <w:u w:val="single"/>
        </w:rPr>
        <w:t>ARECCI Guidelines and Screening Tools</w:t>
      </w:r>
    </w:p>
    <w:p w14:paraId="5D6E0B77" w14:textId="77777777" w:rsidR="00710F7E" w:rsidRPr="0027672B" w:rsidRDefault="00710F7E" w:rsidP="00710F7E">
      <w:pPr>
        <w:pStyle w:val="NoSpacing"/>
        <w:rPr>
          <w:rFonts w:ascii="Arial" w:hAnsi="Arial" w:cs="Arial"/>
          <w:u w:val="single"/>
        </w:rPr>
      </w:pPr>
    </w:p>
    <w:p w14:paraId="61BACD2A" w14:textId="77777777" w:rsidR="00710F7E" w:rsidRPr="0027672B" w:rsidRDefault="00710F7E" w:rsidP="00710F7E">
      <w:pPr>
        <w:pStyle w:val="NoSpacing"/>
        <w:rPr>
          <w:rFonts w:ascii="Arial" w:hAnsi="Arial" w:cs="Arial"/>
        </w:rPr>
      </w:pPr>
      <w:r w:rsidRPr="0027672B">
        <w:rPr>
          <w:rFonts w:ascii="Arial" w:hAnsi="Arial" w:cs="Arial"/>
        </w:rPr>
        <w:t xml:space="preserve">In order to determine whether your study qualifies as QA/QI, please refer to the ARECCI (Alberta Research Ethics Community Consensus Initiative) Guidelines and Screening Tool, both of which are available online for public use </w:t>
      </w:r>
      <w:hyperlink r:id="rId8" w:history="1">
        <w:r w:rsidRPr="0027672B">
          <w:rPr>
            <w:rStyle w:val="Hyperlink"/>
            <w:rFonts w:ascii="Arial" w:hAnsi="Arial" w:cs="Arial"/>
          </w:rPr>
          <w:t>through a creative commons license</w:t>
        </w:r>
      </w:hyperlink>
      <w:r w:rsidRPr="0027672B">
        <w:rPr>
          <w:rFonts w:ascii="Arial" w:hAnsi="Arial" w:cs="Arial"/>
        </w:rPr>
        <w:t>.</w:t>
      </w:r>
    </w:p>
    <w:p w14:paraId="565DA48A" w14:textId="77777777" w:rsidR="00710F7E" w:rsidRPr="0027672B" w:rsidRDefault="00710F7E" w:rsidP="00710F7E">
      <w:pPr>
        <w:pStyle w:val="NoSpacing"/>
        <w:rPr>
          <w:rFonts w:ascii="Arial" w:hAnsi="Arial" w:cs="Arial"/>
          <w:u w:val="single"/>
        </w:rPr>
      </w:pPr>
    </w:p>
    <w:p w14:paraId="617E2BA1" w14:textId="5BB2D9B4" w:rsidR="00710F7E" w:rsidRPr="0027672B" w:rsidRDefault="00673AF4" w:rsidP="00710F7E">
      <w:pPr>
        <w:pStyle w:val="NoSpacing"/>
        <w:numPr>
          <w:ilvl w:val="0"/>
          <w:numId w:val="5"/>
        </w:numPr>
        <w:rPr>
          <w:rFonts w:ascii="Arial" w:hAnsi="Arial" w:cs="Arial"/>
        </w:rPr>
      </w:pPr>
      <w:hyperlink r:id="rId9" w:history="1">
        <w:r w:rsidR="00710F7E" w:rsidRPr="00673AF4">
          <w:rPr>
            <w:rStyle w:val="Hyperlink"/>
            <w:rFonts w:ascii="Arial" w:hAnsi="Arial" w:cs="Arial"/>
          </w:rPr>
          <w:t xml:space="preserve">Introduction: ARECCI Ethics Guidelines for Quality Improvement and Evaluation Projects </w:t>
        </w:r>
      </w:hyperlink>
      <w:r w:rsidR="00710F7E" w:rsidRPr="0027672B">
        <w:rPr>
          <w:rFonts w:ascii="Arial" w:hAnsi="Arial" w:cs="Arial"/>
        </w:rPr>
        <w:t xml:space="preserve"> </w:t>
      </w:r>
    </w:p>
    <w:p w14:paraId="405CB61A" w14:textId="1BD3B3D2" w:rsidR="00710F7E" w:rsidRPr="00673AF4" w:rsidRDefault="00673AF4" w:rsidP="00710F7E">
      <w:pPr>
        <w:pStyle w:val="NoSpacing"/>
        <w:numPr>
          <w:ilvl w:val="0"/>
          <w:numId w:val="5"/>
        </w:numPr>
        <w:rPr>
          <w:rStyle w:val="Hyperlink"/>
          <w:rFonts w:ascii="Arial" w:hAnsi="Arial" w:cs="Arial"/>
        </w:rPr>
      </w:pPr>
      <w:r>
        <w:rPr>
          <w:rFonts w:ascii="Arial" w:hAnsi="Arial" w:cs="Arial"/>
        </w:rPr>
        <w:fldChar w:fldCharType="begin"/>
      </w:r>
      <w:r>
        <w:rPr>
          <w:rFonts w:ascii="Arial" w:hAnsi="Arial" w:cs="Arial"/>
        </w:rPr>
        <w:instrText xml:space="preserve"> HYPERLINK "https://albertainnovates.ca/our-health-innovation-focus/a-project-ethics-community-consensus-initiative/arecci-ethics-guideline-and-screening-tools/" </w:instrText>
      </w:r>
      <w:r>
        <w:rPr>
          <w:rFonts w:ascii="Arial" w:hAnsi="Arial" w:cs="Arial"/>
        </w:rPr>
      </w:r>
      <w:r>
        <w:rPr>
          <w:rFonts w:ascii="Arial" w:hAnsi="Arial" w:cs="Arial"/>
        </w:rPr>
        <w:fldChar w:fldCharType="separate"/>
      </w:r>
      <w:r w:rsidR="00710F7E" w:rsidRPr="00673AF4">
        <w:rPr>
          <w:rStyle w:val="Hyperlink"/>
          <w:rFonts w:ascii="Arial" w:hAnsi="Arial" w:cs="Arial"/>
        </w:rPr>
        <w:t>Researcher Instructions: ARECCI Ethics Guideline and Screening Tool</w:t>
      </w:r>
    </w:p>
    <w:p w14:paraId="3FC2CB87" w14:textId="068EE542" w:rsidR="00710F7E" w:rsidRPr="00673AF4" w:rsidRDefault="00673AF4" w:rsidP="00710F7E">
      <w:pPr>
        <w:pStyle w:val="NoSpacing"/>
        <w:numPr>
          <w:ilvl w:val="0"/>
          <w:numId w:val="5"/>
        </w:numPr>
        <w:rPr>
          <w:rStyle w:val="Hyperlink"/>
          <w:rFonts w:ascii="Arial" w:hAnsi="Arial" w:cs="Arial"/>
        </w:rPr>
      </w:pPr>
      <w:r>
        <w:rPr>
          <w:rFonts w:ascii="Arial" w:hAnsi="Arial" w:cs="Arial"/>
        </w:rPr>
        <w:fldChar w:fldCharType="end"/>
      </w:r>
      <w:r>
        <w:rPr>
          <w:rFonts w:ascii="Arial" w:hAnsi="Arial" w:cs="Arial"/>
        </w:rPr>
        <w:fldChar w:fldCharType="begin"/>
      </w:r>
      <w:r>
        <w:rPr>
          <w:rFonts w:ascii="Arial" w:hAnsi="Arial" w:cs="Arial"/>
        </w:rPr>
        <w:instrText xml:space="preserve"> HYPERLINK "https://albertainnovates.ca/our-health-innovation-focus/a-project-ethics-community-consensus-initiative/arecci-ethics-guideline-and-screening-tools/" </w:instrText>
      </w:r>
      <w:r>
        <w:rPr>
          <w:rFonts w:ascii="Arial" w:hAnsi="Arial" w:cs="Arial"/>
        </w:rPr>
      </w:r>
      <w:r>
        <w:rPr>
          <w:rFonts w:ascii="Arial" w:hAnsi="Arial" w:cs="Arial"/>
        </w:rPr>
        <w:fldChar w:fldCharType="separate"/>
      </w:r>
      <w:r w:rsidR="00710F7E" w:rsidRPr="00673AF4">
        <w:rPr>
          <w:rStyle w:val="Hyperlink"/>
          <w:rFonts w:ascii="Arial" w:hAnsi="Arial" w:cs="Arial"/>
        </w:rPr>
        <w:t>The ARECCI Ethics Screening Tool</w:t>
      </w:r>
    </w:p>
    <w:p w14:paraId="2F06C9D8" w14:textId="048B2396" w:rsidR="00710F7E" w:rsidRPr="0027672B" w:rsidRDefault="00673AF4" w:rsidP="00710F7E">
      <w:pPr>
        <w:pStyle w:val="NoSpacing"/>
        <w:rPr>
          <w:rFonts w:ascii="Arial" w:hAnsi="Arial" w:cs="Arial"/>
          <w:u w:val="single"/>
        </w:rPr>
      </w:pPr>
      <w:r>
        <w:rPr>
          <w:rFonts w:ascii="Arial" w:hAnsi="Arial" w:cs="Arial"/>
        </w:rPr>
        <w:fldChar w:fldCharType="end"/>
      </w:r>
    </w:p>
    <w:p w14:paraId="327A281B" w14:textId="77777777" w:rsidR="00710F7E" w:rsidRPr="0027672B" w:rsidRDefault="00710F7E" w:rsidP="00710F7E">
      <w:pPr>
        <w:pStyle w:val="NoSpacing"/>
        <w:rPr>
          <w:rFonts w:ascii="Arial" w:hAnsi="Arial" w:cs="Arial"/>
          <w:b/>
          <w:u w:val="single"/>
        </w:rPr>
      </w:pPr>
      <w:r w:rsidRPr="0027672B">
        <w:rPr>
          <w:rFonts w:ascii="Arial" w:hAnsi="Arial" w:cs="Arial"/>
          <w:b/>
          <w:u w:val="single"/>
        </w:rPr>
        <w:t>QA/QI FAQs</w:t>
      </w:r>
    </w:p>
    <w:p w14:paraId="136155F9" w14:textId="77777777" w:rsidR="00710F7E" w:rsidRPr="0027672B" w:rsidRDefault="00710F7E" w:rsidP="00710F7E">
      <w:pPr>
        <w:pStyle w:val="NoSpacing"/>
        <w:rPr>
          <w:rFonts w:ascii="Arial" w:hAnsi="Arial" w:cs="Arial"/>
        </w:rPr>
      </w:pPr>
    </w:p>
    <w:p w14:paraId="182BF3D9" w14:textId="77777777" w:rsidR="00710F7E" w:rsidRPr="0027672B" w:rsidRDefault="00710F7E" w:rsidP="00710F7E">
      <w:pPr>
        <w:pStyle w:val="NoSpacing"/>
        <w:numPr>
          <w:ilvl w:val="0"/>
          <w:numId w:val="3"/>
        </w:numPr>
        <w:rPr>
          <w:rFonts w:ascii="Arial" w:hAnsi="Arial" w:cs="Arial"/>
          <w:b/>
        </w:rPr>
      </w:pPr>
      <w:r w:rsidRPr="0027672B">
        <w:rPr>
          <w:rFonts w:ascii="Arial" w:hAnsi="Arial" w:cs="Arial"/>
          <w:b/>
        </w:rPr>
        <w:t>If my project is determined to be QA/QI, can I still publish or disseminate my findings?</w:t>
      </w:r>
    </w:p>
    <w:p w14:paraId="69367CC2" w14:textId="77777777" w:rsidR="00710F7E" w:rsidRDefault="00710F7E" w:rsidP="00710F7E">
      <w:pPr>
        <w:pStyle w:val="NoSpacing"/>
        <w:ind w:left="360"/>
        <w:rPr>
          <w:rFonts w:ascii="Arial" w:hAnsi="Arial" w:cs="Arial"/>
        </w:rPr>
      </w:pPr>
      <w:r w:rsidRPr="0027672B">
        <w:rPr>
          <w:rFonts w:ascii="Arial" w:hAnsi="Arial" w:cs="Arial"/>
        </w:rPr>
        <w:t>Yes. Dissemination of QA/QI findings through external channels is permitted</w:t>
      </w:r>
      <w:r>
        <w:rPr>
          <w:rFonts w:ascii="Arial" w:hAnsi="Arial" w:cs="Arial"/>
        </w:rPr>
        <w:t>, but it must be specified that the study was conducted for QA/QI purposes and that results must not be generalized (i.e. applied outside of the organization for which the QA/QI study was conducted).</w:t>
      </w:r>
      <w:r w:rsidRPr="0027672B">
        <w:rPr>
          <w:rFonts w:ascii="Arial" w:hAnsi="Arial" w:cs="Arial"/>
        </w:rPr>
        <w:t xml:space="preserve"> For example, QA/QI findings and successes may be presented in meetings or published in professional journals</w:t>
      </w:r>
      <w:r>
        <w:rPr>
          <w:rFonts w:ascii="Arial" w:hAnsi="Arial" w:cs="Arial"/>
        </w:rPr>
        <w:t xml:space="preserve"> </w:t>
      </w:r>
      <w:proofErr w:type="gramStart"/>
      <w:r>
        <w:rPr>
          <w:rFonts w:ascii="Arial" w:hAnsi="Arial" w:cs="Arial"/>
        </w:rPr>
        <w:t>a</w:t>
      </w:r>
      <w:r w:rsidRPr="0027672B">
        <w:rPr>
          <w:rFonts w:ascii="Arial" w:hAnsi="Arial" w:cs="Arial"/>
        </w:rPr>
        <w:t>s long as</w:t>
      </w:r>
      <w:proofErr w:type="gramEnd"/>
      <w:r w:rsidRPr="0027672B">
        <w:rPr>
          <w:rFonts w:ascii="Arial" w:hAnsi="Arial" w:cs="Arial"/>
        </w:rPr>
        <w:t xml:space="preserve"> all publications and presentations clearly refer to QA/QI studies </w:t>
      </w:r>
      <w:r w:rsidRPr="0027672B">
        <w:rPr>
          <w:rFonts w:ascii="Arial" w:hAnsi="Arial" w:cs="Arial"/>
          <w:u w:val="single"/>
        </w:rPr>
        <w:t>as</w:t>
      </w:r>
      <w:r w:rsidRPr="0027672B">
        <w:rPr>
          <w:rFonts w:ascii="Arial" w:hAnsi="Arial" w:cs="Arial"/>
        </w:rPr>
        <w:t xml:space="preserve"> QA/QI studies (i.e. rather than as research)</w:t>
      </w:r>
      <w:r>
        <w:rPr>
          <w:rFonts w:ascii="Arial" w:hAnsi="Arial" w:cs="Arial"/>
        </w:rPr>
        <w:t>.</w:t>
      </w:r>
      <w:r w:rsidRPr="0027672B">
        <w:rPr>
          <w:rFonts w:ascii="Arial" w:hAnsi="Arial" w:cs="Arial"/>
        </w:rPr>
        <w:t xml:space="preserve"> Please note that if you intend to publish the results of a QA/QI project, a note explaining that the project was determined to be QA/QI should be added to the methodology section of the published paper. </w:t>
      </w:r>
      <w:r>
        <w:rPr>
          <w:rFonts w:ascii="Arial" w:hAnsi="Arial" w:cs="Arial"/>
        </w:rPr>
        <w:t xml:space="preserve">In addition, no generalizations can be made about the study outside of the scope of QA/QI for that specific organization. </w:t>
      </w:r>
      <w:r w:rsidRPr="0027672B">
        <w:rPr>
          <w:rFonts w:ascii="Arial" w:hAnsi="Arial" w:cs="Arial"/>
        </w:rPr>
        <w:t xml:space="preserve">For further information on the publication of QA/QI studies, please refer to the </w:t>
      </w:r>
      <w:hyperlink r:id="rId10" w:history="1">
        <w:r w:rsidRPr="0027672B">
          <w:rPr>
            <w:rStyle w:val="Hyperlink"/>
            <w:rFonts w:ascii="Arial" w:hAnsi="Arial" w:cs="Arial"/>
          </w:rPr>
          <w:t>SQ</w:t>
        </w:r>
        <w:r w:rsidRPr="0027672B">
          <w:rPr>
            <w:rStyle w:val="Hyperlink"/>
            <w:rFonts w:ascii="Arial" w:hAnsi="Arial" w:cs="Arial"/>
          </w:rPr>
          <w:t>UIRE (Standards for Quality Improvement Reporting Excellence) guidelines</w:t>
        </w:r>
      </w:hyperlink>
      <w:r w:rsidRPr="0027672B">
        <w:rPr>
          <w:rFonts w:ascii="Arial" w:hAnsi="Arial" w:cs="Arial"/>
        </w:rPr>
        <w:t xml:space="preserve">. </w:t>
      </w:r>
    </w:p>
    <w:p w14:paraId="6A5D0FC4" w14:textId="77777777" w:rsidR="007650B7" w:rsidRPr="0027672B" w:rsidRDefault="007650B7" w:rsidP="00710F7E">
      <w:pPr>
        <w:pStyle w:val="NoSpacing"/>
        <w:ind w:left="360"/>
        <w:rPr>
          <w:rFonts w:ascii="Arial" w:hAnsi="Arial" w:cs="Arial"/>
        </w:rPr>
      </w:pPr>
    </w:p>
    <w:p w14:paraId="0F32C49F" w14:textId="77777777" w:rsidR="00710F7E" w:rsidRPr="0027672B" w:rsidRDefault="00710F7E" w:rsidP="00710F7E">
      <w:pPr>
        <w:pStyle w:val="NoSpacing"/>
        <w:ind w:left="720"/>
        <w:rPr>
          <w:rFonts w:ascii="Arial" w:hAnsi="Arial" w:cs="Arial"/>
        </w:rPr>
      </w:pPr>
    </w:p>
    <w:p w14:paraId="29ADC940" w14:textId="77777777" w:rsidR="00710F7E" w:rsidRPr="0027672B" w:rsidRDefault="00710F7E" w:rsidP="00710F7E">
      <w:pPr>
        <w:pStyle w:val="NoSpacing"/>
        <w:numPr>
          <w:ilvl w:val="0"/>
          <w:numId w:val="3"/>
        </w:numPr>
        <w:rPr>
          <w:rFonts w:ascii="Arial" w:hAnsi="Arial" w:cs="Arial"/>
          <w:b/>
        </w:rPr>
      </w:pPr>
      <w:r w:rsidRPr="0027672B">
        <w:rPr>
          <w:rFonts w:ascii="Arial" w:hAnsi="Arial" w:cs="Arial"/>
          <w:b/>
        </w:rPr>
        <w:lastRenderedPageBreak/>
        <w:t xml:space="preserve">Can I determine whether my project is QA/QI or research </w:t>
      </w:r>
      <w:r w:rsidRPr="0027672B">
        <w:rPr>
          <w:rFonts w:ascii="Arial" w:hAnsi="Arial" w:cs="Arial"/>
          <w:b/>
          <w:i/>
        </w:rPr>
        <w:t>after</w:t>
      </w:r>
      <w:r w:rsidRPr="0027672B">
        <w:rPr>
          <w:rFonts w:ascii="Arial" w:hAnsi="Arial" w:cs="Arial"/>
          <w:b/>
        </w:rPr>
        <w:t xml:space="preserve"> I have begun my project?</w:t>
      </w:r>
    </w:p>
    <w:p w14:paraId="0B0E6CA7" w14:textId="77777777" w:rsidR="00710F7E" w:rsidRPr="0027672B" w:rsidRDefault="00710F7E" w:rsidP="00710F7E">
      <w:pPr>
        <w:pStyle w:val="NoSpacing"/>
        <w:ind w:left="360"/>
        <w:rPr>
          <w:rFonts w:ascii="Arial" w:hAnsi="Arial" w:cs="Arial"/>
        </w:rPr>
      </w:pPr>
      <w:r w:rsidRPr="0027672B">
        <w:rPr>
          <w:rFonts w:ascii="Arial" w:hAnsi="Arial" w:cs="Arial"/>
        </w:rPr>
        <w:t xml:space="preserve">No. HSREB Ethics Clearance must be issued </w:t>
      </w:r>
      <w:r w:rsidRPr="0027672B">
        <w:rPr>
          <w:rFonts w:ascii="Arial" w:hAnsi="Arial" w:cs="Arial"/>
          <w:u w:val="single"/>
        </w:rPr>
        <w:t>before</w:t>
      </w:r>
      <w:r w:rsidRPr="0027672B">
        <w:rPr>
          <w:rFonts w:ascii="Arial" w:hAnsi="Arial" w:cs="Arial"/>
        </w:rPr>
        <w:t xml:space="preserve"> a research project has begun and </w:t>
      </w:r>
      <w:r w:rsidRPr="0027672B">
        <w:rPr>
          <w:rFonts w:ascii="Arial" w:hAnsi="Arial" w:cs="Arial"/>
          <w:u w:val="single"/>
        </w:rPr>
        <w:t>will not</w:t>
      </w:r>
      <w:r w:rsidRPr="0027672B">
        <w:rPr>
          <w:rFonts w:ascii="Arial" w:hAnsi="Arial" w:cs="Arial"/>
        </w:rPr>
        <w:t xml:space="preserve"> be issued retroactively.  </w:t>
      </w:r>
    </w:p>
    <w:p w14:paraId="436AF253" w14:textId="77777777" w:rsidR="00710F7E" w:rsidRPr="0027672B" w:rsidRDefault="00710F7E" w:rsidP="00710F7E">
      <w:pPr>
        <w:pStyle w:val="NoSpacing"/>
        <w:rPr>
          <w:rFonts w:ascii="Arial" w:hAnsi="Arial" w:cs="Arial"/>
          <w:b/>
        </w:rPr>
      </w:pPr>
    </w:p>
    <w:p w14:paraId="78DF21B5" w14:textId="77777777" w:rsidR="00710F7E" w:rsidRPr="0027672B" w:rsidRDefault="00710F7E" w:rsidP="00710F7E">
      <w:pPr>
        <w:pStyle w:val="NoSpacing"/>
        <w:numPr>
          <w:ilvl w:val="0"/>
          <w:numId w:val="3"/>
        </w:numPr>
        <w:rPr>
          <w:rFonts w:ascii="Arial" w:hAnsi="Arial" w:cs="Arial"/>
          <w:b/>
        </w:rPr>
      </w:pPr>
      <w:r w:rsidRPr="0027672B">
        <w:rPr>
          <w:rFonts w:ascii="Arial" w:hAnsi="Arial" w:cs="Arial"/>
          <w:b/>
        </w:rPr>
        <w:t>I collected data for a QA/QI project and would now like to use this data for research. Is this permitted?</w:t>
      </w:r>
    </w:p>
    <w:p w14:paraId="231D0881" w14:textId="77777777" w:rsidR="00710F7E" w:rsidRPr="0027672B" w:rsidRDefault="00710F7E" w:rsidP="00710F7E">
      <w:pPr>
        <w:pStyle w:val="NoSpacing"/>
        <w:ind w:left="360"/>
        <w:rPr>
          <w:rFonts w:ascii="Arial" w:hAnsi="Arial" w:cs="Arial"/>
        </w:rPr>
      </w:pPr>
      <w:r w:rsidRPr="0027672B">
        <w:rPr>
          <w:rFonts w:ascii="Arial" w:hAnsi="Arial" w:cs="Arial"/>
        </w:rPr>
        <w:t xml:space="preserve">Yes - The use of QA/QI data for a research project would be considered a secondary use of </w:t>
      </w:r>
      <w:proofErr w:type="gramStart"/>
      <w:r w:rsidRPr="0027672B">
        <w:rPr>
          <w:rFonts w:ascii="Arial" w:hAnsi="Arial" w:cs="Arial"/>
        </w:rPr>
        <w:t>information, and</w:t>
      </w:r>
      <w:proofErr w:type="gramEnd"/>
      <w:r w:rsidRPr="0027672B">
        <w:rPr>
          <w:rFonts w:ascii="Arial" w:hAnsi="Arial" w:cs="Arial"/>
        </w:rPr>
        <w:t xml:space="preserve"> </w:t>
      </w:r>
      <w:r w:rsidRPr="0027672B">
        <w:rPr>
          <w:rFonts w:ascii="Arial" w:hAnsi="Arial" w:cs="Arial"/>
          <w:b/>
          <w:u w:val="single"/>
        </w:rPr>
        <w:t xml:space="preserve">would require REB review prior to </w:t>
      </w:r>
      <w:r>
        <w:rPr>
          <w:rFonts w:ascii="Arial" w:hAnsi="Arial" w:cs="Arial"/>
          <w:b/>
          <w:u w:val="single"/>
        </w:rPr>
        <w:t xml:space="preserve">the </w:t>
      </w:r>
      <w:r w:rsidRPr="0027672B">
        <w:rPr>
          <w:rFonts w:ascii="Arial" w:hAnsi="Arial" w:cs="Arial"/>
          <w:b/>
          <w:u w:val="single"/>
        </w:rPr>
        <w:t>us</w:t>
      </w:r>
      <w:r>
        <w:rPr>
          <w:rFonts w:ascii="Arial" w:hAnsi="Arial" w:cs="Arial"/>
          <w:b/>
          <w:u w:val="single"/>
        </w:rPr>
        <w:t>e</w:t>
      </w:r>
      <w:r w:rsidRPr="0027672B">
        <w:rPr>
          <w:rFonts w:ascii="Arial" w:hAnsi="Arial" w:cs="Arial"/>
          <w:b/>
          <w:u w:val="single"/>
        </w:rPr>
        <w:t xml:space="preserve"> data for research purposes</w:t>
      </w:r>
      <w:r w:rsidRPr="0027672B">
        <w:rPr>
          <w:rFonts w:ascii="Arial" w:hAnsi="Arial" w:cs="Arial"/>
        </w:rPr>
        <w:t xml:space="preserve">. </w:t>
      </w:r>
    </w:p>
    <w:p w14:paraId="2BDBF822" w14:textId="77777777" w:rsidR="00710F7E" w:rsidRPr="0027672B" w:rsidRDefault="00710F7E" w:rsidP="00710F7E">
      <w:pPr>
        <w:pStyle w:val="NoSpacing"/>
        <w:rPr>
          <w:rFonts w:ascii="Arial" w:hAnsi="Arial" w:cs="Arial"/>
          <w:b/>
        </w:rPr>
      </w:pPr>
    </w:p>
    <w:p w14:paraId="30CAFDD4" w14:textId="77777777" w:rsidR="00710F7E" w:rsidRPr="0027672B" w:rsidRDefault="00710F7E" w:rsidP="00710F7E">
      <w:pPr>
        <w:pStyle w:val="NoSpacing"/>
        <w:numPr>
          <w:ilvl w:val="0"/>
          <w:numId w:val="3"/>
        </w:numPr>
        <w:rPr>
          <w:rFonts w:ascii="Arial" w:hAnsi="Arial" w:cs="Arial"/>
          <w:b/>
        </w:rPr>
      </w:pPr>
      <w:r w:rsidRPr="0027672B">
        <w:rPr>
          <w:rFonts w:ascii="Arial" w:hAnsi="Arial" w:cs="Arial"/>
          <w:b/>
        </w:rPr>
        <w:t>Can I access Personal Health Information for QI projects?</w:t>
      </w:r>
    </w:p>
    <w:p w14:paraId="767880CF" w14:textId="77777777" w:rsidR="00710F7E" w:rsidRPr="0027672B" w:rsidRDefault="00710F7E" w:rsidP="00710F7E">
      <w:pPr>
        <w:pStyle w:val="NoSpacing"/>
        <w:ind w:left="360"/>
        <w:rPr>
          <w:rFonts w:ascii="Arial" w:hAnsi="Arial" w:cs="Arial"/>
        </w:rPr>
      </w:pPr>
      <w:r w:rsidRPr="0027672B">
        <w:rPr>
          <w:rFonts w:ascii="Arial" w:hAnsi="Arial" w:cs="Arial"/>
        </w:rPr>
        <w:t xml:space="preserve">Yes – </w:t>
      </w:r>
      <w:proofErr w:type="gramStart"/>
      <w:r w:rsidRPr="0027672B">
        <w:rPr>
          <w:rFonts w:ascii="Arial" w:hAnsi="Arial" w:cs="Arial"/>
        </w:rPr>
        <w:t>as long as</w:t>
      </w:r>
      <w:proofErr w:type="gramEnd"/>
      <w:r w:rsidRPr="0027672B">
        <w:rPr>
          <w:rFonts w:ascii="Arial" w:hAnsi="Arial" w:cs="Arial"/>
        </w:rPr>
        <w:t xml:space="preserve"> anyone who accesses Personal Health Information (PHI) for QA/QI purposes is authorized as a legal custodian or agent of health data, and as long as all relevant institutional data protection, privacy, and confidentiality policies/guidelines are followed, access to PHI is permitted.</w:t>
      </w:r>
    </w:p>
    <w:p w14:paraId="07F27A64" w14:textId="77777777" w:rsidR="00710F7E" w:rsidRPr="0027672B" w:rsidRDefault="00710F7E" w:rsidP="00710F7E">
      <w:pPr>
        <w:pStyle w:val="NoSpacing"/>
        <w:ind w:left="720"/>
        <w:rPr>
          <w:rFonts w:ascii="Arial" w:hAnsi="Arial" w:cs="Arial"/>
        </w:rPr>
      </w:pPr>
    </w:p>
    <w:p w14:paraId="7C4E0519" w14:textId="77777777" w:rsidR="00710F7E" w:rsidRPr="0027672B" w:rsidRDefault="00710F7E" w:rsidP="00710F7E">
      <w:pPr>
        <w:pStyle w:val="NoSpacing"/>
        <w:numPr>
          <w:ilvl w:val="0"/>
          <w:numId w:val="3"/>
        </w:numPr>
        <w:rPr>
          <w:rFonts w:ascii="Arial" w:hAnsi="Arial" w:cs="Arial"/>
          <w:b/>
        </w:rPr>
      </w:pPr>
      <w:r w:rsidRPr="0027672B">
        <w:rPr>
          <w:rFonts w:ascii="Arial" w:hAnsi="Arial" w:cs="Arial"/>
          <w:b/>
        </w:rPr>
        <w:t>Can I access data from Shared Health Systems for QI projects?</w:t>
      </w:r>
    </w:p>
    <w:p w14:paraId="582687D1" w14:textId="77777777" w:rsidR="00710F7E" w:rsidRPr="0027672B" w:rsidRDefault="00710F7E" w:rsidP="00710F7E">
      <w:pPr>
        <w:pStyle w:val="NoSpacing"/>
        <w:ind w:left="360"/>
        <w:rPr>
          <w:rFonts w:ascii="Arial" w:hAnsi="Arial" w:cs="Arial"/>
        </w:rPr>
      </w:pPr>
      <w:r w:rsidRPr="0027672B">
        <w:rPr>
          <w:rFonts w:ascii="Arial" w:hAnsi="Arial" w:cs="Arial"/>
        </w:rPr>
        <w:t xml:space="preserve">No. Shared Health Systems (e.g., Connecting Ontario, OLIS, </w:t>
      </w:r>
      <w:proofErr w:type="spellStart"/>
      <w:r w:rsidRPr="0027672B">
        <w:rPr>
          <w:rFonts w:ascii="Arial" w:hAnsi="Arial" w:cs="Arial"/>
        </w:rPr>
        <w:t>cCHN</w:t>
      </w:r>
      <w:proofErr w:type="spellEnd"/>
      <w:r w:rsidRPr="0027672B">
        <w:rPr>
          <w:rFonts w:ascii="Arial" w:hAnsi="Arial" w:cs="Arial"/>
        </w:rPr>
        <w:t xml:space="preserve">, HDIRS, IAR, etc.) </w:t>
      </w:r>
      <w:r w:rsidRPr="0027672B">
        <w:rPr>
          <w:rFonts w:ascii="Arial" w:hAnsi="Arial" w:cs="Arial"/>
          <w:u w:val="single"/>
        </w:rPr>
        <w:t>are not</w:t>
      </w:r>
      <w:r w:rsidRPr="0027672B">
        <w:rPr>
          <w:rFonts w:ascii="Arial" w:hAnsi="Arial" w:cs="Arial"/>
        </w:rPr>
        <w:t xml:space="preserve"> to be accessed for use in QA/QI studies.</w:t>
      </w:r>
    </w:p>
    <w:p w14:paraId="593540F4" w14:textId="77777777" w:rsidR="00710F7E" w:rsidRPr="0027672B" w:rsidRDefault="00710F7E" w:rsidP="00710F7E">
      <w:pPr>
        <w:pStyle w:val="NoSpacing"/>
        <w:rPr>
          <w:rFonts w:ascii="Arial" w:hAnsi="Arial" w:cs="Arial"/>
          <w:b/>
          <w:u w:val="single"/>
        </w:rPr>
      </w:pPr>
    </w:p>
    <w:p w14:paraId="6B09BD49" w14:textId="77777777" w:rsidR="00710F7E" w:rsidRPr="0027672B" w:rsidRDefault="00710F7E" w:rsidP="00710F7E">
      <w:pPr>
        <w:pStyle w:val="NoSpacing"/>
        <w:rPr>
          <w:rFonts w:ascii="Arial" w:hAnsi="Arial" w:cs="Arial"/>
          <w:b/>
          <w:u w:val="single"/>
        </w:rPr>
      </w:pPr>
      <w:r w:rsidRPr="0027672B">
        <w:rPr>
          <w:rFonts w:ascii="Arial" w:hAnsi="Arial" w:cs="Arial"/>
          <w:b/>
          <w:u w:val="single"/>
        </w:rPr>
        <w:t>Important Considerations</w:t>
      </w:r>
    </w:p>
    <w:p w14:paraId="6FAF81E4" w14:textId="77777777" w:rsidR="00710F7E" w:rsidRPr="0027672B" w:rsidRDefault="00710F7E" w:rsidP="00710F7E">
      <w:pPr>
        <w:pStyle w:val="NoSpacing"/>
        <w:rPr>
          <w:rFonts w:ascii="Arial" w:hAnsi="Arial" w:cs="Arial"/>
        </w:rPr>
      </w:pPr>
    </w:p>
    <w:p w14:paraId="3B170914" w14:textId="19F247A6" w:rsidR="00710F7E" w:rsidRPr="0027672B" w:rsidRDefault="00710F7E" w:rsidP="00710F7E">
      <w:pPr>
        <w:pStyle w:val="ListParagraph"/>
        <w:numPr>
          <w:ilvl w:val="0"/>
          <w:numId w:val="2"/>
        </w:numPr>
        <w:rPr>
          <w:rFonts w:ascii="Arial" w:hAnsi="Arial" w:cs="Arial"/>
        </w:rPr>
      </w:pPr>
      <w:r w:rsidRPr="0027672B">
        <w:rPr>
          <w:rFonts w:ascii="Arial" w:hAnsi="Arial" w:cs="Arial"/>
        </w:rPr>
        <w:t xml:space="preserve">QA/QI projects, although not considered research as defined by the TCPS 2 2014, are still expected to be conducted professionally and ethically, in accordance with the </w:t>
      </w:r>
      <w:hyperlink r:id="rId11" w:history="1">
        <w:r w:rsidRPr="0027672B">
          <w:rPr>
            <w:rStyle w:val="Hyperlink"/>
            <w:rFonts w:ascii="Arial" w:hAnsi="Arial" w:cs="Arial"/>
          </w:rPr>
          <w:t>core principles of the TCPS 2</w:t>
        </w:r>
      </w:hyperlink>
      <w:r w:rsidRPr="0027672B">
        <w:rPr>
          <w:rStyle w:val="Hyperlink"/>
          <w:rFonts w:ascii="Arial" w:hAnsi="Arial" w:cs="Arial"/>
        </w:rPr>
        <w:t xml:space="preserve"> 201</w:t>
      </w:r>
      <w:r w:rsidR="00673AF4">
        <w:rPr>
          <w:rStyle w:val="Hyperlink"/>
          <w:rFonts w:ascii="Arial" w:hAnsi="Arial" w:cs="Arial"/>
        </w:rPr>
        <w:t>8</w:t>
      </w:r>
      <w:r w:rsidRPr="0027672B">
        <w:rPr>
          <w:rFonts w:ascii="Arial" w:hAnsi="Arial" w:cs="Arial"/>
        </w:rPr>
        <w:t xml:space="preserve">. These core principles </w:t>
      </w:r>
      <w:proofErr w:type="gramStart"/>
      <w:r w:rsidRPr="0027672B">
        <w:rPr>
          <w:rFonts w:ascii="Arial" w:hAnsi="Arial" w:cs="Arial"/>
        </w:rPr>
        <w:t>include:</w:t>
      </w:r>
      <w:proofErr w:type="gramEnd"/>
      <w:r w:rsidRPr="0027672B">
        <w:rPr>
          <w:rFonts w:ascii="Arial" w:hAnsi="Arial" w:cs="Arial"/>
        </w:rPr>
        <w:t xml:space="preserve"> protecting the interests of the participants, respecting free and informed consent and voluntary participation, and respecting privacy and confidentiality.</w:t>
      </w:r>
    </w:p>
    <w:p w14:paraId="7DC42AD7" w14:textId="62768A07" w:rsidR="00710F7E" w:rsidRPr="0027672B" w:rsidRDefault="00710F7E" w:rsidP="00710F7E">
      <w:pPr>
        <w:pStyle w:val="NoSpacing"/>
        <w:numPr>
          <w:ilvl w:val="0"/>
          <w:numId w:val="2"/>
        </w:numPr>
        <w:rPr>
          <w:rFonts w:ascii="Arial" w:hAnsi="Arial" w:cs="Arial"/>
        </w:rPr>
      </w:pPr>
      <w:r w:rsidRPr="0027672B">
        <w:rPr>
          <w:rFonts w:ascii="Arial" w:hAnsi="Arial" w:cs="Arial"/>
        </w:rPr>
        <w:t xml:space="preserve">If data collection occurs as part of a QA/QI project and that data is </w:t>
      </w:r>
      <w:r w:rsidRPr="0027672B">
        <w:rPr>
          <w:rFonts w:ascii="Arial" w:hAnsi="Arial" w:cs="Arial"/>
          <w:b/>
          <w:i/>
        </w:rPr>
        <w:t>later proposed for research purposes</w:t>
      </w:r>
      <w:r w:rsidRPr="0027672B">
        <w:rPr>
          <w:rFonts w:ascii="Arial" w:hAnsi="Arial" w:cs="Arial"/>
        </w:rPr>
        <w:t xml:space="preserve">, this would be considered secondary use of information not originally intended for </w:t>
      </w:r>
      <w:proofErr w:type="gramStart"/>
      <w:r w:rsidRPr="0027672B">
        <w:rPr>
          <w:rFonts w:ascii="Arial" w:hAnsi="Arial" w:cs="Arial"/>
        </w:rPr>
        <w:t>research, and</w:t>
      </w:r>
      <w:proofErr w:type="gramEnd"/>
      <w:r w:rsidRPr="0027672B">
        <w:rPr>
          <w:rFonts w:ascii="Arial" w:hAnsi="Arial" w:cs="Arial"/>
        </w:rPr>
        <w:t xml:space="preserve"> would require REB review. Secondary use refers to the use in research of information originally collected for a purpose other than the current research purpose (</w:t>
      </w:r>
      <w:r>
        <w:rPr>
          <w:rFonts w:ascii="Arial" w:hAnsi="Arial" w:cs="Arial"/>
        </w:rPr>
        <w:t>s</w:t>
      </w:r>
      <w:r w:rsidRPr="0027672B">
        <w:rPr>
          <w:rFonts w:ascii="Arial" w:hAnsi="Arial" w:cs="Arial"/>
        </w:rPr>
        <w:t>ee TCPS 2 2014, Chapter 5, Section D). When secondary data can be linked to individuals, and when the possibility exists that individuals can be identified in published reports or through data linkage, additional considerations may need to be made regarding participant consent requirements (</w:t>
      </w:r>
      <w:hyperlink r:id="rId12" w:history="1">
        <w:r w:rsidRPr="0027672B">
          <w:rPr>
            <w:rStyle w:val="Hyperlink"/>
            <w:rFonts w:ascii="Arial" w:hAnsi="Arial" w:cs="Arial"/>
          </w:rPr>
          <w:t>TCPS 2 201</w:t>
        </w:r>
        <w:r w:rsidR="00673AF4">
          <w:rPr>
            <w:rStyle w:val="Hyperlink"/>
            <w:rFonts w:ascii="Arial" w:hAnsi="Arial" w:cs="Arial"/>
          </w:rPr>
          <w:t>8</w:t>
        </w:r>
        <w:r w:rsidRPr="0027672B">
          <w:rPr>
            <w:rStyle w:val="Hyperlink"/>
            <w:rFonts w:ascii="Arial" w:hAnsi="Arial" w:cs="Arial"/>
          </w:rPr>
          <w:t xml:space="preserve"> Article 5.5A &amp; 5.5B</w:t>
        </w:r>
      </w:hyperlink>
      <w:r w:rsidRPr="0027672B">
        <w:rPr>
          <w:rFonts w:ascii="Arial" w:hAnsi="Arial" w:cs="Arial"/>
        </w:rPr>
        <w:t>).</w:t>
      </w:r>
    </w:p>
    <w:p w14:paraId="69AC6D7E" w14:textId="77777777" w:rsidR="00710F7E" w:rsidRDefault="00710F7E" w:rsidP="00710F7E">
      <w:pPr>
        <w:rPr>
          <w:rFonts w:ascii="Arial" w:hAnsi="Arial" w:cs="Arial"/>
        </w:rPr>
      </w:pPr>
    </w:p>
    <w:p w14:paraId="16F1707D" w14:textId="77777777" w:rsidR="00710F7E" w:rsidRPr="00E359C4" w:rsidRDefault="00710F7E" w:rsidP="00710F7E">
      <w:pPr>
        <w:pStyle w:val="ListParagraph"/>
        <w:numPr>
          <w:ilvl w:val="0"/>
          <w:numId w:val="2"/>
        </w:numPr>
        <w:rPr>
          <w:rFonts w:ascii="Arial" w:hAnsi="Arial" w:cs="Arial"/>
        </w:rPr>
      </w:pPr>
      <w:r w:rsidRPr="00E359C4">
        <w:rPr>
          <w:rFonts w:ascii="Arial" w:hAnsi="Arial" w:cs="Arial"/>
        </w:rPr>
        <w:t>Queen’s University will not grant retroactive ethics clearance of a study.</w:t>
      </w:r>
    </w:p>
    <w:p w14:paraId="47752C99" w14:textId="77777777" w:rsidR="00710F7E" w:rsidRPr="00E359C4" w:rsidRDefault="00710F7E" w:rsidP="00710F7E">
      <w:pPr>
        <w:pStyle w:val="ListParagraph"/>
        <w:rPr>
          <w:rFonts w:ascii="Arial" w:hAnsi="Arial" w:cs="Arial"/>
          <w:b/>
        </w:rPr>
      </w:pPr>
    </w:p>
    <w:p w14:paraId="753CC478" w14:textId="77777777" w:rsidR="00710F7E" w:rsidRDefault="00710F7E" w:rsidP="00710F7E">
      <w:pPr>
        <w:pStyle w:val="ListParagraph"/>
        <w:numPr>
          <w:ilvl w:val="0"/>
          <w:numId w:val="2"/>
        </w:numPr>
        <w:rPr>
          <w:rFonts w:ascii="Arial" w:hAnsi="Arial" w:cs="Arial"/>
          <w:b/>
        </w:rPr>
      </w:pPr>
      <w:r w:rsidRPr="00E359C4">
        <w:rPr>
          <w:rFonts w:ascii="Arial" w:hAnsi="Arial" w:cs="Arial"/>
          <w:b/>
        </w:rPr>
        <w:t xml:space="preserve">If you are unsure </w:t>
      </w:r>
      <w:proofErr w:type="gramStart"/>
      <w:r w:rsidRPr="00E359C4">
        <w:rPr>
          <w:rFonts w:ascii="Arial" w:hAnsi="Arial" w:cs="Arial"/>
          <w:b/>
        </w:rPr>
        <w:t>whether or not</w:t>
      </w:r>
      <w:proofErr w:type="gramEnd"/>
      <w:r w:rsidRPr="00E359C4">
        <w:rPr>
          <w:rFonts w:ascii="Arial" w:hAnsi="Arial" w:cs="Arial"/>
          <w:b/>
        </w:rPr>
        <w:t xml:space="preserve"> a project qualifies as QA/QI and will be exempt from review, you should seek the opinion of Jennifer Couture, the Ethics Compliance Advisor, before initiating the project. Jennifer can be reached by email at: jennifer.couture@queensu.ca, or by phone at: 613-533-6000 ext. 78223. </w:t>
      </w:r>
    </w:p>
    <w:p w14:paraId="374A1619" w14:textId="77777777" w:rsidR="00710F7E" w:rsidRPr="00E359C4" w:rsidRDefault="00710F7E" w:rsidP="00710F7E">
      <w:pPr>
        <w:pStyle w:val="ListParagraph"/>
        <w:rPr>
          <w:rFonts w:ascii="Arial" w:hAnsi="Arial" w:cs="Arial"/>
          <w:b/>
          <w:i/>
        </w:rPr>
      </w:pPr>
    </w:p>
    <w:p w14:paraId="303E8324" w14:textId="77777777" w:rsidR="00710F7E" w:rsidRPr="0027672B" w:rsidRDefault="00710F7E" w:rsidP="00710F7E">
      <w:pPr>
        <w:rPr>
          <w:rFonts w:ascii="Arial" w:hAnsi="Arial" w:cs="Arial"/>
          <w:b/>
          <w:u w:val="single"/>
        </w:rPr>
      </w:pPr>
      <w:r w:rsidRPr="0027672B">
        <w:rPr>
          <w:rFonts w:ascii="Arial" w:hAnsi="Arial" w:cs="Arial"/>
          <w:b/>
          <w:u w:val="single"/>
        </w:rPr>
        <w:t>References</w:t>
      </w:r>
    </w:p>
    <w:p w14:paraId="6939CF8C" w14:textId="77777777" w:rsidR="00710F7E" w:rsidRPr="0027672B" w:rsidRDefault="00710F7E" w:rsidP="00710F7E">
      <w:pPr>
        <w:rPr>
          <w:rFonts w:ascii="Arial" w:hAnsi="Arial" w:cs="Arial"/>
        </w:rPr>
      </w:pPr>
    </w:p>
    <w:p w14:paraId="69DC1509" w14:textId="77777777" w:rsidR="00710F7E" w:rsidRPr="0027672B" w:rsidRDefault="00710F7E" w:rsidP="00710F7E">
      <w:pPr>
        <w:pStyle w:val="NoSpacing"/>
        <w:numPr>
          <w:ilvl w:val="0"/>
          <w:numId w:val="4"/>
        </w:numPr>
        <w:rPr>
          <w:rFonts w:ascii="Arial" w:hAnsi="Arial" w:cs="Arial"/>
        </w:rPr>
      </w:pPr>
      <w:r w:rsidRPr="0027672B">
        <w:rPr>
          <w:rFonts w:ascii="Arial" w:hAnsi="Arial" w:cs="Arial"/>
        </w:rPr>
        <w:t>Canadian Institutes of Health Research, Natural Sciences and Engineering Research Council of Canada, and Social Sciences and Humanities Research Council of Canada, Tri-Council Policy Statement: Ethical Conduct for Research Involving Humans, December 2010.</w:t>
      </w:r>
    </w:p>
    <w:p w14:paraId="3B1FD8AE" w14:textId="77777777" w:rsidR="00710F7E" w:rsidRPr="0027672B" w:rsidRDefault="00710F7E" w:rsidP="00710F7E">
      <w:pPr>
        <w:pStyle w:val="NoSpacing"/>
        <w:numPr>
          <w:ilvl w:val="0"/>
          <w:numId w:val="4"/>
        </w:numPr>
        <w:rPr>
          <w:rFonts w:ascii="Arial" w:hAnsi="Arial" w:cs="Arial"/>
        </w:rPr>
      </w:pPr>
      <w:r w:rsidRPr="0027672B">
        <w:rPr>
          <w:rFonts w:ascii="Arial" w:hAnsi="Arial" w:cs="Arial"/>
        </w:rPr>
        <w:t xml:space="preserve">Quality Improvement Projects, American Society of Clinical Oncology (ASCO), 2018. </w:t>
      </w:r>
    </w:p>
    <w:p w14:paraId="4FC85FF4" w14:textId="77777777" w:rsidR="00710F7E" w:rsidRPr="0027672B" w:rsidRDefault="00710F7E" w:rsidP="00710F7E">
      <w:pPr>
        <w:pStyle w:val="NoSpacing"/>
        <w:numPr>
          <w:ilvl w:val="0"/>
          <w:numId w:val="4"/>
        </w:numPr>
        <w:rPr>
          <w:rFonts w:ascii="Arial" w:hAnsi="Arial" w:cs="Arial"/>
        </w:rPr>
      </w:pPr>
      <w:proofErr w:type="spellStart"/>
      <w:r w:rsidRPr="0027672B">
        <w:rPr>
          <w:rFonts w:ascii="Arial" w:hAnsi="Arial" w:cs="Arial"/>
        </w:rPr>
        <w:lastRenderedPageBreak/>
        <w:t>Posterboards</w:t>
      </w:r>
      <w:proofErr w:type="spellEnd"/>
      <w:r w:rsidRPr="0027672B">
        <w:rPr>
          <w:rFonts w:ascii="Arial" w:hAnsi="Arial" w:cs="Arial"/>
        </w:rPr>
        <w:t xml:space="preserve"> from IHI's 27th Annual National Forum on Quality Improvement in Health Care, School Resources, Institute for Healthcare Improvement, 2018.</w:t>
      </w:r>
    </w:p>
    <w:p w14:paraId="5515FE30" w14:textId="77777777" w:rsidR="00710F7E" w:rsidRPr="0027672B" w:rsidRDefault="00710F7E" w:rsidP="00710F7E">
      <w:pPr>
        <w:pStyle w:val="NoSpacing"/>
        <w:numPr>
          <w:ilvl w:val="0"/>
          <w:numId w:val="4"/>
        </w:numPr>
        <w:rPr>
          <w:rFonts w:ascii="Arial" w:hAnsi="Arial" w:cs="Arial"/>
        </w:rPr>
      </w:pPr>
      <w:r w:rsidRPr="0027672B">
        <w:rPr>
          <w:rFonts w:ascii="Arial" w:hAnsi="Arial" w:cs="Arial"/>
        </w:rPr>
        <w:t xml:space="preserve">ARECCI Ethics Screening Tool developed by the Alberta Research Ethics Community Consensus Initiative (ARECCI) Network (2005, revised 2008). </w:t>
      </w:r>
    </w:p>
    <w:p w14:paraId="47C55C84" w14:textId="77777777" w:rsidR="00710F7E" w:rsidRPr="0027672B" w:rsidRDefault="00710F7E" w:rsidP="00710F7E">
      <w:pPr>
        <w:pStyle w:val="NoSpacing"/>
        <w:numPr>
          <w:ilvl w:val="0"/>
          <w:numId w:val="4"/>
        </w:numPr>
        <w:rPr>
          <w:rFonts w:ascii="Arial" w:hAnsi="Arial" w:cs="Arial"/>
        </w:rPr>
      </w:pPr>
      <w:r w:rsidRPr="0027672B">
        <w:rPr>
          <w:rFonts w:ascii="Arial" w:hAnsi="Arial" w:cs="Arial"/>
        </w:rPr>
        <w:t>Research vs Quality Improvement Guideline &amp; Checklist, St. Joseph’s Health Centre Toronto, July 24, 2014.</w:t>
      </w:r>
    </w:p>
    <w:p w14:paraId="797B0F10" w14:textId="77777777" w:rsidR="00710F7E" w:rsidRPr="0027672B" w:rsidRDefault="00710F7E" w:rsidP="00710F7E">
      <w:pPr>
        <w:pStyle w:val="NoSpacing"/>
        <w:numPr>
          <w:ilvl w:val="0"/>
          <w:numId w:val="4"/>
        </w:numPr>
        <w:rPr>
          <w:rFonts w:ascii="Arial" w:hAnsi="Arial" w:cs="Arial"/>
        </w:rPr>
      </w:pPr>
      <w:r w:rsidRPr="0027672B">
        <w:rPr>
          <w:rFonts w:ascii="Arial" w:hAnsi="Arial" w:cs="Arial"/>
        </w:rPr>
        <w:t>Revised Standards for Quality Improvement Reporting Excellence, SQUIRE 2.0, 2017 SQUIRE.</w:t>
      </w:r>
    </w:p>
    <w:p w14:paraId="00FDD439" w14:textId="77777777" w:rsidR="00710F7E" w:rsidRPr="0027672B" w:rsidRDefault="00710F7E" w:rsidP="00710F7E">
      <w:pPr>
        <w:pStyle w:val="NoSpacing"/>
        <w:numPr>
          <w:ilvl w:val="0"/>
          <w:numId w:val="4"/>
        </w:numPr>
        <w:rPr>
          <w:rFonts w:ascii="Arial" w:hAnsi="Arial" w:cs="Arial"/>
        </w:rPr>
      </w:pPr>
      <w:r w:rsidRPr="0027672B">
        <w:rPr>
          <w:rFonts w:ascii="Arial" w:hAnsi="Arial" w:cs="Arial"/>
        </w:rPr>
        <w:t>Distinguishing Between Quality Assurance/Improvement &amp; Research, Western University, 29MAY2015.</w:t>
      </w:r>
    </w:p>
    <w:p w14:paraId="24C3487B" w14:textId="77777777" w:rsidR="00710F7E" w:rsidRPr="0027672B" w:rsidRDefault="00710F7E" w:rsidP="00710F7E">
      <w:pPr>
        <w:pStyle w:val="NoSpacing"/>
        <w:numPr>
          <w:ilvl w:val="0"/>
          <w:numId w:val="4"/>
        </w:numPr>
        <w:rPr>
          <w:rFonts w:ascii="Arial" w:hAnsi="Arial" w:cs="Arial"/>
        </w:rPr>
      </w:pPr>
      <w:r w:rsidRPr="0027672B">
        <w:rPr>
          <w:rFonts w:ascii="Arial" w:hAnsi="Arial" w:cs="Arial"/>
        </w:rPr>
        <w:t>REB Quality Improvement/Quality Assessment (QA/QI) Tool, North York General Hospital, August 2016.</w:t>
      </w:r>
    </w:p>
    <w:p w14:paraId="72C04BE2" w14:textId="77777777" w:rsidR="00710F7E" w:rsidRPr="00E46CB6" w:rsidRDefault="00710F7E" w:rsidP="00710F7E">
      <w:pPr>
        <w:pStyle w:val="Default"/>
        <w:ind w:left="720"/>
        <w:rPr>
          <w:rFonts w:ascii="Arial" w:hAnsi="Arial" w:cs="Arial"/>
        </w:rPr>
      </w:pPr>
    </w:p>
    <w:p w14:paraId="562C0118" w14:textId="77777777" w:rsidR="00710F7E" w:rsidRPr="0015185D" w:rsidRDefault="00710F7E" w:rsidP="00710F7E">
      <w:pPr>
        <w:rPr>
          <w:rFonts w:ascii="Arial" w:hAnsi="Arial" w:cs="Arial"/>
          <w:sz w:val="24"/>
          <w:szCs w:val="24"/>
        </w:rPr>
      </w:pPr>
    </w:p>
    <w:p w14:paraId="7132CBCF" w14:textId="77777777" w:rsidR="00082FF0" w:rsidRPr="00710F7E" w:rsidRDefault="00082FF0" w:rsidP="00710F7E"/>
    <w:sectPr w:rsidR="00082FF0" w:rsidRPr="00710F7E" w:rsidSect="00703B9D">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C0F12" w14:textId="77777777" w:rsidR="00D55512" w:rsidRDefault="00D55512" w:rsidP="00D55512">
      <w:r>
        <w:separator/>
      </w:r>
    </w:p>
  </w:endnote>
  <w:endnote w:type="continuationSeparator" w:id="0">
    <w:p w14:paraId="56988EFB" w14:textId="77777777" w:rsidR="00D55512" w:rsidRDefault="00D55512" w:rsidP="00D55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0977F" w14:textId="77777777" w:rsidR="00673AF4" w:rsidRDefault="00673A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91E28" w14:textId="77777777" w:rsidR="00710F7E" w:rsidRDefault="00710F7E" w:rsidP="00E47041">
    <w:pPr>
      <w:pStyle w:val="Footer"/>
      <w:rPr>
        <w:rFonts w:ascii="Arial" w:hAnsi="Arial" w:cs="Arial"/>
        <w:i/>
        <w:sz w:val="20"/>
        <w:szCs w:val="20"/>
      </w:rPr>
    </w:pPr>
  </w:p>
  <w:p w14:paraId="07B6B455" w14:textId="64655069" w:rsidR="00E47041" w:rsidRPr="00E47041" w:rsidRDefault="00710F7E" w:rsidP="00E47041">
    <w:pPr>
      <w:pStyle w:val="Footer"/>
      <w:rPr>
        <w:rFonts w:ascii="Arial" w:hAnsi="Arial" w:cs="Arial"/>
        <w:i/>
        <w:sz w:val="20"/>
        <w:szCs w:val="20"/>
      </w:rPr>
    </w:pPr>
    <w:r>
      <w:rPr>
        <w:rFonts w:ascii="Arial" w:hAnsi="Arial" w:cs="Arial"/>
        <w:i/>
        <w:sz w:val="20"/>
        <w:szCs w:val="20"/>
      </w:rPr>
      <w:t xml:space="preserve">Quality Assurance/Quality Improvement Study Guidelines </w:t>
    </w:r>
    <w:r>
      <w:rPr>
        <w:rFonts w:ascii="Arial" w:hAnsi="Arial" w:cs="Arial"/>
        <w:i/>
        <w:sz w:val="20"/>
        <w:szCs w:val="20"/>
      </w:rPr>
      <w:t>v.2018</w:t>
    </w:r>
    <w:r w:rsidR="00673AF4">
      <w:rPr>
        <w:rFonts w:ascii="Arial" w:hAnsi="Arial" w:cs="Arial"/>
        <w:i/>
        <w:sz w:val="20"/>
        <w:szCs w:val="20"/>
      </w:rPr>
      <w:t>OCT08</w:t>
    </w:r>
    <w:bookmarkStart w:id="0" w:name="_GoBack"/>
    <w:bookmarkEnd w:id="0"/>
  </w:p>
  <w:p w14:paraId="0730E584" w14:textId="77777777" w:rsidR="00D55512" w:rsidRPr="00E47041" w:rsidRDefault="00D55512" w:rsidP="00E47041">
    <w:pPr>
      <w:pStyle w:val="Footer"/>
      <w:jc w:val="right"/>
      <w:rPr>
        <w:rFonts w:ascii="Arial" w:hAnsi="Arial" w:cs="Arial"/>
        <w:i/>
        <w:sz w:val="20"/>
        <w:szCs w:val="20"/>
      </w:rPr>
    </w:pPr>
    <w:r w:rsidRPr="00E47041">
      <w:rPr>
        <w:rFonts w:ascii="Arial" w:hAnsi="Arial" w:cs="Arial"/>
        <w:i/>
        <w:sz w:val="20"/>
      </w:rPr>
      <w:tab/>
      <w:t xml:space="preserve">Page </w:t>
    </w:r>
    <w:r w:rsidRPr="00E47041">
      <w:rPr>
        <w:rFonts w:ascii="Arial" w:hAnsi="Arial" w:cs="Arial"/>
        <w:b/>
        <w:bCs/>
        <w:i/>
        <w:sz w:val="20"/>
      </w:rPr>
      <w:fldChar w:fldCharType="begin"/>
    </w:r>
    <w:r w:rsidRPr="00E47041">
      <w:rPr>
        <w:rFonts w:ascii="Arial" w:hAnsi="Arial" w:cs="Arial"/>
        <w:b/>
        <w:bCs/>
        <w:i/>
        <w:sz w:val="20"/>
      </w:rPr>
      <w:instrText xml:space="preserve"> PAGE </w:instrText>
    </w:r>
    <w:r w:rsidRPr="00E47041">
      <w:rPr>
        <w:rFonts w:ascii="Arial" w:hAnsi="Arial" w:cs="Arial"/>
        <w:b/>
        <w:bCs/>
        <w:i/>
        <w:sz w:val="20"/>
      </w:rPr>
      <w:fldChar w:fldCharType="separate"/>
    </w:r>
    <w:r w:rsidR="003A2A45">
      <w:rPr>
        <w:rFonts w:ascii="Arial" w:hAnsi="Arial" w:cs="Arial"/>
        <w:b/>
        <w:bCs/>
        <w:i/>
        <w:noProof/>
        <w:sz w:val="20"/>
      </w:rPr>
      <w:t>2</w:t>
    </w:r>
    <w:r w:rsidRPr="00E47041">
      <w:rPr>
        <w:rFonts w:ascii="Arial" w:hAnsi="Arial" w:cs="Arial"/>
        <w:b/>
        <w:bCs/>
        <w:i/>
        <w:sz w:val="20"/>
      </w:rPr>
      <w:fldChar w:fldCharType="end"/>
    </w:r>
    <w:r w:rsidRPr="00E47041">
      <w:rPr>
        <w:rFonts w:ascii="Arial" w:hAnsi="Arial" w:cs="Arial"/>
        <w:i/>
        <w:sz w:val="20"/>
      </w:rPr>
      <w:t xml:space="preserve"> of </w:t>
    </w:r>
    <w:r w:rsidRPr="00E47041">
      <w:rPr>
        <w:rFonts w:ascii="Arial" w:hAnsi="Arial" w:cs="Arial"/>
        <w:b/>
        <w:bCs/>
        <w:i/>
        <w:sz w:val="20"/>
      </w:rPr>
      <w:fldChar w:fldCharType="begin"/>
    </w:r>
    <w:r w:rsidRPr="00E47041">
      <w:rPr>
        <w:rFonts w:ascii="Arial" w:hAnsi="Arial" w:cs="Arial"/>
        <w:b/>
        <w:bCs/>
        <w:i/>
        <w:sz w:val="20"/>
      </w:rPr>
      <w:instrText xml:space="preserve"> NUMPAGES  </w:instrText>
    </w:r>
    <w:r w:rsidRPr="00E47041">
      <w:rPr>
        <w:rFonts w:ascii="Arial" w:hAnsi="Arial" w:cs="Arial"/>
        <w:b/>
        <w:bCs/>
        <w:i/>
        <w:sz w:val="20"/>
      </w:rPr>
      <w:fldChar w:fldCharType="separate"/>
    </w:r>
    <w:r w:rsidR="003A2A45">
      <w:rPr>
        <w:rFonts w:ascii="Arial" w:hAnsi="Arial" w:cs="Arial"/>
        <w:b/>
        <w:bCs/>
        <w:i/>
        <w:noProof/>
        <w:sz w:val="20"/>
      </w:rPr>
      <w:t>3</w:t>
    </w:r>
    <w:r w:rsidRPr="00E47041">
      <w:rPr>
        <w:rFonts w:ascii="Arial" w:hAnsi="Arial" w:cs="Arial"/>
        <w:b/>
        <w:bCs/>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8B472" w14:textId="77777777" w:rsidR="00673AF4" w:rsidRDefault="00673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1B916" w14:textId="77777777" w:rsidR="00D55512" w:rsidRDefault="00D55512" w:rsidP="00D55512">
      <w:r>
        <w:separator/>
      </w:r>
    </w:p>
  </w:footnote>
  <w:footnote w:type="continuationSeparator" w:id="0">
    <w:p w14:paraId="60485741" w14:textId="77777777" w:rsidR="00D55512" w:rsidRDefault="00D55512" w:rsidP="00D55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CC336" w14:textId="77777777" w:rsidR="00673AF4" w:rsidRDefault="00673A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1A5BC" w14:textId="77777777" w:rsidR="00D55512" w:rsidRPr="00E47041" w:rsidRDefault="00D55512">
    <w:pPr>
      <w:pStyle w:val="Header"/>
      <w:rPr>
        <w:rFonts w:ascii="Arial" w:hAnsi="Arial" w:cs="Arial"/>
      </w:rPr>
    </w:pPr>
    <w:r w:rsidRPr="00E47041">
      <w:rPr>
        <w:rFonts w:ascii="Arial" w:hAnsi="Arial" w:cs="Arial"/>
        <w:noProof/>
      </w:rPr>
      <w:drawing>
        <wp:inline distT="0" distB="0" distL="0" distR="0" wp14:anchorId="5E4D37F6" wp14:editId="5368B13B">
          <wp:extent cx="6762750" cy="1074426"/>
          <wp:effectExtent l="0" t="0" r="0" b="0"/>
          <wp:docPr id="1" name="Picture 1" descr="tricolour curves-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ricolour curves-colour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3804" b="73978"/>
                  <a:stretch/>
                </pic:blipFill>
                <pic:spPr bwMode="auto">
                  <a:xfrm>
                    <a:off x="0" y="0"/>
                    <a:ext cx="6812595" cy="108234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7F0CC" w14:textId="77777777" w:rsidR="00673AF4" w:rsidRDefault="00673A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F5FA7"/>
    <w:multiLevelType w:val="hybridMultilevel"/>
    <w:tmpl w:val="2C701AA4"/>
    <w:lvl w:ilvl="0" w:tplc="8B549396">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7420539"/>
    <w:multiLevelType w:val="hybridMultilevel"/>
    <w:tmpl w:val="1BFA9D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6946D3E"/>
    <w:multiLevelType w:val="hybridMultilevel"/>
    <w:tmpl w:val="78CA632A"/>
    <w:lvl w:ilvl="0" w:tplc="3EE06A8A">
      <w:start w:val="1"/>
      <w:numFmt w:val="decimal"/>
      <w:lvlText w:val="%1."/>
      <w:lvlJc w:val="left"/>
      <w:pPr>
        <w:ind w:left="990" w:hanging="360"/>
      </w:pPr>
      <w:rPr>
        <w:rFonts w:hint="default"/>
      </w:rPr>
    </w:lvl>
    <w:lvl w:ilvl="1" w:tplc="04090019" w:tentative="1">
      <w:start w:val="1"/>
      <w:numFmt w:val="lowerLetter"/>
      <w:lvlText w:val="%2."/>
      <w:lvlJc w:val="left"/>
      <w:pPr>
        <w:ind w:left="1513" w:hanging="360"/>
      </w:pPr>
    </w:lvl>
    <w:lvl w:ilvl="2" w:tplc="0409001B" w:tentative="1">
      <w:start w:val="1"/>
      <w:numFmt w:val="lowerRoman"/>
      <w:lvlText w:val="%3."/>
      <w:lvlJc w:val="right"/>
      <w:pPr>
        <w:ind w:left="2233" w:hanging="180"/>
      </w:pPr>
    </w:lvl>
    <w:lvl w:ilvl="3" w:tplc="0409000F" w:tentative="1">
      <w:start w:val="1"/>
      <w:numFmt w:val="decimal"/>
      <w:lvlText w:val="%4."/>
      <w:lvlJc w:val="left"/>
      <w:pPr>
        <w:ind w:left="2953" w:hanging="360"/>
      </w:pPr>
    </w:lvl>
    <w:lvl w:ilvl="4" w:tplc="04090019" w:tentative="1">
      <w:start w:val="1"/>
      <w:numFmt w:val="lowerLetter"/>
      <w:lvlText w:val="%5."/>
      <w:lvlJc w:val="left"/>
      <w:pPr>
        <w:ind w:left="3673" w:hanging="360"/>
      </w:pPr>
    </w:lvl>
    <w:lvl w:ilvl="5" w:tplc="0409001B" w:tentative="1">
      <w:start w:val="1"/>
      <w:numFmt w:val="lowerRoman"/>
      <w:lvlText w:val="%6."/>
      <w:lvlJc w:val="right"/>
      <w:pPr>
        <w:ind w:left="4393" w:hanging="180"/>
      </w:pPr>
    </w:lvl>
    <w:lvl w:ilvl="6" w:tplc="0409000F" w:tentative="1">
      <w:start w:val="1"/>
      <w:numFmt w:val="decimal"/>
      <w:lvlText w:val="%7."/>
      <w:lvlJc w:val="left"/>
      <w:pPr>
        <w:ind w:left="5113" w:hanging="360"/>
      </w:pPr>
    </w:lvl>
    <w:lvl w:ilvl="7" w:tplc="04090019" w:tentative="1">
      <w:start w:val="1"/>
      <w:numFmt w:val="lowerLetter"/>
      <w:lvlText w:val="%8."/>
      <w:lvlJc w:val="left"/>
      <w:pPr>
        <w:ind w:left="5833" w:hanging="360"/>
      </w:pPr>
    </w:lvl>
    <w:lvl w:ilvl="8" w:tplc="0409001B" w:tentative="1">
      <w:start w:val="1"/>
      <w:numFmt w:val="lowerRoman"/>
      <w:lvlText w:val="%9."/>
      <w:lvlJc w:val="right"/>
      <w:pPr>
        <w:ind w:left="6553" w:hanging="180"/>
      </w:pPr>
    </w:lvl>
  </w:abstractNum>
  <w:abstractNum w:abstractNumId="3" w15:restartNumberingAfterBreak="0">
    <w:nsid w:val="5E871FC2"/>
    <w:multiLevelType w:val="hybridMultilevel"/>
    <w:tmpl w:val="0DF23FB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75B628F2"/>
    <w:multiLevelType w:val="hybridMultilevel"/>
    <w:tmpl w:val="2C82F820"/>
    <w:lvl w:ilvl="0" w:tplc="9FC48B94">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512"/>
    <w:rsid w:val="00082FF0"/>
    <w:rsid w:val="001B20B2"/>
    <w:rsid w:val="003A2A45"/>
    <w:rsid w:val="0040054F"/>
    <w:rsid w:val="006458C4"/>
    <w:rsid w:val="00673AF4"/>
    <w:rsid w:val="00703B9D"/>
    <w:rsid w:val="00710F7E"/>
    <w:rsid w:val="007650B7"/>
    <w:rsid w:val="00C4115A"/>
    <w:rsid w:val="00D55512"/>
    <w:rsid w:val="00E47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138EA"/>
  <w15:chartTrackingRefBased/>
  <w15:docId w15:val="{63CD0243-32AA-4749-976B-3752F8D54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710F7E"/>
    <w:pPr>
      <w:widowControl w:val="0"/>
      <w:spacing w:after="0" w:line="240" w:lineRule="auto"/>
    </w:pPr>
  </w:style>
  <w:style w:type="paragraph" w:styleId="Heading1">
    <w:name w:val="heading 1"/>
    <w:basedOn w:val="Normal"/>
    <w:link w:val="Heading1Char"/>
    <w:uiPriority w:val="1"/>
    <w:qFormat/>
    <w:rsid w:val="00E47041"/>
    <w:pPr>
      <w:spacing w:before="69"/>
      <w:ind w:left="200"/>
      <w:outlineLvl w:val="0"/>
    </w:pPr>
    <w:rPr>
      <w:rFonts w:ascii="Arial" w:eastAsia="Arial" w:hAnsi="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512"/>
    <w:pPr>
      <w:tabs>
        <w:tab w:val="center" w:pos="4680"/>
        <w:tab w:val="right" w:pos="9360"/>
      </w:tabs>
    </w:pPr>
  </w:style>
  <w:style w:type="character" w:customStyle="1" w:styleId="HeaderChar">
    <w:name w:val="Header Char"/>
    <w:basedOn w:val="DefaultParagraphFont"/>
    <w:link w:val="Header"/>
    <w:uiPriority w:val="99"/>
    <w:rsid w:val="00D55512"/>
  </w:style>
  <w:style w:type="paragraph" w:styleId="Footer">
    <w:name w:val="footer"/>
    <w:basedOn w:val="Normal"/>
    <w:link w:val="FooterChar"/>
    <w:uiPriority w:val="99"/>
    <w:unhideWhenUsed/>
    <w:rsid w:val="00D55512"/>
    <w:pPr>
      <w:tabs>
        <w:tab w:val="center" w:pos="4680"/>
        <w:tab w:val="right" w:pos="9360"/>
      </w:tabs>
    </w:pPr>
  </w:style>
  <w:style w:type="character" w:customStyle="1" w:styleId="FooterChar">
    <w:name w:val="Footer Char"/>
    <w:basedOn w:val="DefaultParagraphFont"/>
    <w:link w:val="Footer"/>
    <w:uiPriority w:val="99"/>
    <w:rsid w:val="00D55512"/>
  </w:style>
  <w:style w:type="character" w:customStyle="1" w:styleId="Heading1Char">
    <w:name w:val="Heading 1 Char"/>
    <w:basedOn w:val="DefaultParagraphFont"/>
    <w:link w:val="Heading1"/>
    <w:uiPriority w:val="1"/>
    <w:rsid w:val="00E47041"/>
    <w:rPr>
      <w:rFonts w:ascii="Arial" w:eastAsia="Arial" w:hAnsi="Arial"/>
      <w:b/>
      <w:bCs/>
      <w:sz w:val="24"/>
      <w:szCs w:val="24"/>
    </w:rPr>
  </w:style>
  <w:style w:type="paragraph" w:styleId="BodyText">
    <w:name w:val="Body Text"/>
    <w:basedOn w:val="Normal"/>
    <w:link w:val="BodyTextChar"/>
    <w:uiPriority w:val="1"/>
    <w:qFormat/>
    <w:rsid w:val="00E47041"/>
    <w:pPr>
      <w:spacing w:before="21"/>
      <w:ind w:left="918" w:hanging="361"/>
    </w:pPr>
    <w:rPr>
      <w:rFonts w:ascii="Arial" w:eastAsia="Arial" w:hAnsi="Arial"/>
    </w:rPr>
  </w:style>
  <w:style w:type="character" w:customStyle="1" w:styleId="BodyTextChar">
    <w:name w:val="Body Text Char"/>
    <w:basedOn w:val="DefaultParagraphFont"/>
    <w:link w:val="BodyText"/>
    <w:uiPriority w:val="1"/>
    <w:rsid w:val="00E47041"/>
    <w:rPr>
      <w:rFonts w:ascii="Arial" w:eastAsia="Arial" w:hAnsi="Arial"/>
    </w:rPr>
  </w:style>
  <w:style w:type="character" w:styleId="Hyperlink">
    <w:name w:val="Hyperlink"/>
    <w:basedOn w:val="DefaultParagraphFont"/>
    <w:uiPriority w:val="99"/>
    <w:unhideWhenUsed/>
    <w:rsid w:val="00E47041"/>
    <w:rPr>
      <w:color w:val="0563C1" w:themeColor="hyperlink"/>
      <w:u w:val="single"/>
    </w:rPr>
  </w:style>
  <w:style w:type="character" w:styleId="FollowedHyperlink">
    <w:name w:val="FollowedHyperlink"/>
    <w:basedOn w:val="DefaultParagraphFont"/>
    <w:uiPriority w:val="99"/>
    <w:semiHidden/>
    <w:unhideWhenUsed/>
    <w:rsid w:val="00E47041"/>
    <w:rPr>
      <w:color w:val="954F72" w:themeColor="followedHyperlink"/>
      <w:u w:val="single"/>
    </w:rPr>
  </w:style>
  <w:style w:type="paragraph" w:styleId="NoSpacing">
    <w:name w:val="No Spacing"/>
    <w:uiPriority w:val="1"/>
    <w:qFormat/>
    <w:rsid w:val="00710F7E"/>
    <w:pPr>
      <w:widowControl w:val="0"/>
      <w:spacing w:after="0" w:line="240" w:lineRule="auto"/>
    </w:pPr>
  </w:style>
  <w:style w:type="paragraph" w:styleId="ListParagraph">
    <w:name w:val="List Paragraph"/>
    <w:basedOn w:val="Normal"/>
    <w:uiPriority w:val="34"/>
    <w:qFormat/>
    <w:rsid w:val="00710F7E"/>
    <w:pPr>
      <w:widowControl/>
      <w:spacing w:after="160" w:line="259" w:lineRule="auto"/>
      <w:ind w:left="720"/>
      <w:contextualSpacing/>
    </w:pPr>
  </w:style>
  <w:style w:type="paragraph" w:customStyle="1" w:styleId="Default">
    <w:name w:val="Default"/>
    <w:rsid w:val="00710F7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73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nd/4.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pre.ethics.gc.ca/eng/policy-politique_tcps2-eptc2_2018.html" TargetMode="External"/><Relationship Id="rId12" Type="http://schemas.openxmlformats.org/officeDocument/2006/relationships/hyperlink" Target="http://www.pre.ethics.gc.ca/eng/tcps2-eptc2_2018_chapter5-chapitre5.htm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ethics.gc.ca/eng/policy-politique_tcps2-eptc2_2018.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quire-statement.org/index.cfm?fuseaction=Page.ViewPage&amp;PageID=47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lbertainnovates.ca/our-health-innovation-focus/a-project-ethics-community-consensus-initiative/faq-arecci/"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1112</Words>
  <Characters>6343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Walker</dc:creator>
  <cp:keywords/>
  <dc:description/>
  <cp:lastModifiedBy>Mallory Walker</cp:lastModifiedBy>
  <cp:revision>2</cp:revision>
  <dcterms:created xsi:type="dcterms:W3CDTF">2019-10-08T18:48:00Z</dcterms:created>
  <dcterms:modified xsi:type="dcterms:W3CDTF">2019-10-08T18:48:00Z</dcterms:modified>
</cp:coreProperties>
</file>