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BDD0" w14:textId="77777777" w:rsidR="00E47041" w:rsidRDefault="00E47041" w:rsidP="00E47041">
      <w:bookmarkStart w:id="0" w:name="_GoBack"/>
      <w:bookmarkEnd w:id="0"/>
    </w:p>
    <w:p w14:paraId="4AB822DC" w14:textId="26F0E9D7" w:rsidR="00140286" w:rsidRPr="00582F7D" w:rsidRDefault="00140286" w:rsidP="00416F69">
      <w:pPr>
        <w:pStyle w:val="BodyText"/>
        <w:spacing w:before="12" w:line="359" w:lineRule="auto"/>
        <w:ind w:left="558" w:right="61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2F7D">
        <w:rPr>
          <w:rFonts w:asciiTheme="minorHAnsi" w:hAnsiTheme="minorHAnsi" w:cstheme="minorHAnsi"/>
          <w:b/>
          <w:sz w:val="24"/>
          <w:szCs w:val="24"/>
        </w:rPr>
        <w:t>Research Ethics Data Security Recommendations</w:t>
      </w:r>
    </w:p>
    <w:p w14:paraId="42ED2799" w14:textId="15307875" w:rsidR="00416F69" w:rsidRPr="00582F7D" w:rsidRDefault="00416F69" w:rsidP="00416F69">
      <w:pPr>
        <w:pStyle w:val="BodyText"/>
        <w:spacing w:before="12" w:line="359" w:lineRule="auto"/>
        <w:ind w:left="558" w:right="610" w:firstLine="0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581F4353" w14:textId="29115ABC" w:rsidR="00E47041" w:rsidRPr="00582F7D" w:rsidRDefault="00E47041" w:rsidP="00E47041">
      <w:pPr>
        <w:pStyle w:val="BodyText"/>
        <w:spacing w:before="12" w:line="359" w:lineRule="auto"/>
        <w:ind w:left="558" w:right="610" w:firstLine="0"/>
        <w:rPr>
          <w:rFonts w:asciiTheme="minorHAnsi" w:hAnsiTheme="minorHAnsi" w:cstheme="minorHAnsi"/>
          <w:sz w:val="24"/>
          <w:szCs w:val="24"/>
        </w:rPr>
      </w:pPr>
      <w:r w:rsidRPr="00582F7D">
        <w:rPr>
          <w:rFonts w:asciiTheme="minorHAnsi" w:hAnsiTheme="minorHAnsi" w:cstheme="minorHAnsi"/>
          <w:spacing w:val="-1"/>
          <w:sz w:val="24"/>
          <w:szCs w:val="24"/>
        </w:rPr>
        <w:t>Researchers and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research</w:t>
      </w:r>
      <w:r w:rsidRPr="00582F7D">
        <w:rPr>
          <w:rFonts w:asciiTheme="minorHAnsi" w:hAnsiTheme="minorHAnsi" w:cstheme="minorHAnsi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staff</w:t>
      </w:r>
      <w:r w:rsidRPr="00582F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>who</w:t>
      </w:r>
      <w:r w:rsidRPr="00582F7D">
        <w:rPr>
          <w:rFonts w:asciiTheme="minorHAnsi" w:hAnsiTheme="minorHAnsi" w:cstheme="minorHAnsi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responsible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1"/>
          <w:sz w:val="24"/>
          <w:szCs w:val="24"/>
        </w:rPr>
        <w:t>for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safeguarding</w:t>
      </w:r>
      <w:r w:rsidRPr="00582F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582F7D">
        <w:rPr>
          <w:rFonts w:asciiTheme="minorHAnsi" w:hAnsiTheme="minorHAnsi" w:cstheme="minorHAnsi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information (PI) and personal health information (PHI) must</w:t>
      </w:r>
      <w:r w:rsidRPr="00582F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ensure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582F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582F7D">
        <w:rPr>
          <w:rFonts w:asciiTheme="minorHAnsi" w:hAnsiTheme="minorHAnsi" w:cstheme="minorHAnsi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reasonable</w:t>
      </w:r>
      <w:r w:rsidRPr="00582F7D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steps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582F7D">
        <w:rPr>
          <w:rFonts w:asciiTheme="minorHAnsi" w:hAnsiTheme="minorHAnsi" w:cstheme="minorHAnsi"/>
          <w:sz w:val="24"/>
          <w:szCs w:val="24"/>
        </w:rPr>
        <w:t xml:space="preserve"> taken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z w:val="24"/>
          <w:szCs w:val="24"/>
        </w:rPr>
        <w:t>to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protect</w:t>
      </w:r>
      <w:r w:rsidRPr="00582F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th</w:t>
      </w:r>
      <w:r w:rsidR="008A652F"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is information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582F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unauthorized</w:t>
      </w:r>
      <w:r w:rsidRPr="00582F7D">
        <w:rPr>
          <w:rFonts w:asciiTheme="minorHAnsi" w:hAnsiTheme="minorHAnsi" w:cstheme="minorHAnsi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access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throughout </w:t>
      </w:r>
      <w:r w:rsidRPr="00582F7D">
        <w:rPr>
          <w:rFonts w:asciiTheme="minorHAnsi" w:hAnsiTheme="minorHAnsi" w:cstheme="minorHAnsi"/>
          <w:sz w:val="24"/>
          <w:szCs w:val="24"/>
        </w:rPr>
        <w:t>the</w:t>
      </w:r>
      <w:r w:rsidRPr="00582F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582F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582F7D">
        <w:rPr>
          <w:rFonts w:asciiTheme="minorHAnsi" w:hAnsiTheme="minorHAnsi" w:cstheme="minorHAnsi"/>
          <w:spacing w:val="-11"/>
          <w:sz w:val="24"/>
          <w:szCs w:val="24"/>
        </w:rPr>
        <w:t xml:space="preserve"> cycle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>: collection, use, dissemination, retention</w:t>
      </w:r>
      <w:r w:rsidR="00E0177F" w:rsidRPr="00582F7D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and/or disposal. For additional information regarding Privacy and Confidentiality</w:t>
      </w:r>
      <w:r w:rsidR="00E0177F" w:rsidRPr="00582F7D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refer to </w:t>
      </w:r>
      <w:hyperlink r:id="rId7" w:anchor="toc05-1" w:history="1">
        <w:r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Chapter 5</w:t>
        </w:r>
      </w:hyperlink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of the Tri-Council Policy Statement: Ethical Conduct for Research Involving Humans (TCPS 2 2014). </w:t>
      </w:r>
    </w:p>
    <w:p w14:paraId="4266BF30" w14:textId="77777777" w:rsidR="00E47041" w:rsidRPr="00582F7D" w:rsidRDefault="00E47041" w:rsidP="00E47041">
      <w:pPr>
        <w:pStyle w:val="BodyText"/>
        <w:spacing w:before="123" w:line="360" w:lineRule="auto"/>
        <w:ind w:right="404"/>
        <w:rPr>
          <w:rFonts w:asciiTheme="minorHAnsi" w:hAnsiTheme="minorHAnsi" w:cstheme="minorHAnsi"/>
          <w:spacing w:val="-1"/>
          <w:sz w:val="24"/>
          <w:szCs w:val="24"/>
        </w:rPr>
      </w:pPr>
      <w:r w:rsidRPr="00582F7D">
        <w:rPr>
          <w:rFonts w:asciiTheme="minorHAnsi" w:hAnsiTheme="minorHAnsi" w:cstheme="minorHAnsi"/>
          <w:spacing w:val="-1"/>
          <w:sz w:val="24"/>
          <w:szCs w:val="24"/>
        </w:rPr>
        <w:t>For Queen’s University policies regarding data security</w:t>
      </w:r>
      <w:r w:rsidR="00E0177F" w:rsidRPr="00582F7D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refer to:</w:t>
      </w:r>
    </w:p>
    <w:p w14:paraId="7AC16DD3" w14:textId="2C6C7673" w:rsidR="00E47041" w:rsidRPr="00582F7D" w:rsidRDefault="00377A55" w:rsidP="00E47041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8" w:history="1">
        <w:r w:rsidR="00E47041"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Electronic Information Security Policy Framework</w:t>
        </w:r>
      </w:hyperlink>
    </w:p>
    <w:p w14:paraId="699F2C3D" w14:textId="77777777" w:rsidR="00E47041" w:rsidRPr="00582F7D" w:rsidRDefault="00377A55" w:rsidP="00E47041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9" w:history="1">
        <w:r w:rsidR="00E47041"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Data Security and Encryption: Handling Confidential &amp; Personal Information</w:t>
        </w:r>
      </w:hyperlink>
    </w:p>
    <w:p w14:paraId="1A711247" w14:textId="77777777" w:rsidR="00E47041" w:rsidRPr="00582F7D" w:rsidRDefault="00377A55" w:rsidP="00E47041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E47041"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Best Practices in Security and Safe Computing</w:t>
        </w:r>
      </w:hyperlink>
    </w:p>
    <w:p w14:paraId="7ED6F9C4" w14:textId="77777777" w:rsidR="00E47041" w:rsidRPr="00582F7D" w:rsidRDefault="00377A55" w:rsidP="00E47041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47041"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Mobile Device Security</w:t>
        </w:r>
      </w:hyperlink>
      <w:r w:rsidR="00E47041" w:rsidRPr="00582F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1838DB74" w14:textId="77777777" w:rsidR="00E47041" w:rsidRPr="00582F7D" w:rsidRDefault="00377A55" w:rsidP="00E47041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47041" w:rsidRPr="00582F7D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Encryption Service</w:t>
        </w:r>
      </w:hyperlink>
    </w:p>
    <w:p w14:paraId="38330CE6" w14:textId="700F3482" w:rsidR="00582F7D" w:rsidRDefault="00377A55" w:rsidP="00416F69">
      <w:pPr>
        <w:pStyle w:val="BodyText"/>
        <w:numPr>
          <w:ilvl w:val="0"/>
          <w:numId w:val="1"/>
        </w:numPr>
        <w:spacing w:before="123" w:line="360" w:lineRule="auto"/>
        <w:ind w:right="404"/>
        <w:rPr>
          <w:rFonts w:asciiTheme="minorHAnsi" w:hAnsiTheme="minorHAnsi" w:cstheme="minorHAnsi"/>
          <w:sz w:val="24"/>
          <w:szCs w:val="24"/>
        </w:rPr>
      </w:pPr>
      <w:hyperlink r:id="rId13">
        <w:r w:rsidR="00E47041" w:rsidRPr="00582F7D">
          <w:rPr>
            <w:rFonts w:asciiTheme="minorHAnsi" w:hAnsiTheme="minorHAnsi" w:cstheme="minorHAnsi"/>
            <w:color w:val="2D74B5"/>
            <w:spacing w:val="-1"/>
            <w:sz w:val="24"/>
            <w:szCs w:val="24"/>
            <w:u w:val="single" w:color="0462C1"/>
          </w:rPr>
          <w:t>Research</w:t>
        </w:r>
        <w:r w:rsidR="00E47041" w:rsidRPr="00582F7D">
          <w:rPr>
            <w:rFonts w:asciiTheme="minorHAnsi" w:hAnsiTheme="minorHAnsi" w:cstheme="minorHAnsi"/>
            <w:color w:val="2D74B5"/>
            <w:sz w:val="24"/>
            <w:szCs w:val="24"/>
            <w:u w:val="single" w:color="0462C1"/>
          </w:rPr>
          <w:t xml:space="preserve"> </w:t>
        </w:r>
        <w:r w:rsidR="00E47041" w:rsidRPr="00582F7D">
          <w:rPr>
            <w:rFonts w:asciiTheme="minorHAnsi" w:hAnsiTheme="minorHAnsi" w:cstheme="minorHAnsi"/>
            <w:color w:val="2D74B5"/>
            <w:spacing w:val="-2"/>
            <w:sz w:val="24"/>
            <w:szCs w:val="24"/>
            <w:u w:val="single" w:color="0462C1"/>
          </w:rPr>
          <w:t>Dat</w:t>
        </w:r>
        <w:r w:rsidR="00E47041" w:rsidRPr="00582F7D">
          <w:rPr>
            <w:rFonts w:asciiTheme="minorHAnsi" w:hAnsiTheme="minorHAnsi" w:cstheme="minorHAnsi"/>
            <w:color w:val="2D74B5"/>
            <w:sz w:val="24"/>
            <w:szCs w:val="24"/>
            <w:u w:val="single" w:color="0462C1"/>
          </w:rPr>
          <w:t xml:space="preserve">a </w:t>
        </w:r>
        <w:r w:rsidR="00E47041" w:rsidRPr="00582F7D">
          <w:rPr>
            <w:rFonts w:asciiTheme="minorHAnsi" w:hAnsiTheme="minorHAnsi" w:cstheme="minorHAnsi"/>
            <w:color w:val="2D74B5"/>
            <w:spacing w:val="-1"/>
            <w:sz w:val="24"/>
            <w:szCs w:val="24"/>
            <w:u w:val="single" w:color="0462C1"/>
          </w:rPr>
          <w:t>Manag</w:t>
        </w:r>
        <w:r w:rsidR="00E47041" w:rsidRPr="00582F7D">
          <w:rPr>
            <w:rFonts w:asciiTheme="minorHAnsi" w:hAnsiTheme="minorHAnsi" w:cstheme="minorHAnsi"/>
            <w:color w:val="2D74B5"/>
            <w:spacing w:val="-60"/>
            <w:sz w:val="24"/>
            <w:szCs w:val="24"/>
            <w:u w:val="single" w:color="0462C1"/>
          </w:rPr>
          <w:t xml:space="preserve"> </w:t>
        </w:r>
        <w:r w:rsidR="00E47041" w:rsidRPr="00582F7D">
          <w:rPr>
            <w:rFonts w:asciiTheme="minorHAnsi" w:hAnsiTheme="minorHAnsi" w:cstheme="minorHAnsi"/>
            <w:color w:val="2D74B5"/>
            <w:spacing w:val="-2"/>
            <w:sz w:val="24"/>
            <w:szCs w:val="24"/>
            <w:u w:val="single" w:color="0462C1"/>
          </w:rPr>
          <w:t>em</w:t>
        </w:r>
        <w:r w:rsidR="00E47041" w:rsidRPr="00582F7D">
          <w:rPr>
            <w:rFonts w:asciiTheme="minorHAnsi" w:hAnsiTheme="minorHAnsi" w:cstheme="minorHAnsi"/>
            <w:color w:val="2D74B5"/>
            <w:spacing w:val="-1"/>
            <w:sz w:val="24"/>
            <w:szCs w:val="24"/>
            <w:u w:val="single" w:color="0462C1"/>
          </w:rPr>
          <w:t xml:space="preserve">ent </w:t>
        </w:r>
        <w:r w:rsidR="00E47041" w:rsidRPr="00582F7D">
          <w:rPr>
            <w:rFonts w:asciiTheme="minorHAnsi" w:hAnsiTheme="minorHAnsi" w:cstheme="minorHAnsi"/>
            <w:color w:val="2D74B5"/>
            <w:sz w:val="24"/>
            <w:szCs w:val="24"/>
            <w:u w:val="single" w:color="0462C1"/>
          </w:rPr>
          <w:t>at</w:t>
        </w:r>
        <w:r w:rsidR="00E47041" w:rsidRPr="00582F7D">
          <w:rPr>
            <w:rFonts w:asciiTheme="minorHAnsi" w:hAnsiTheme="minorHAnsi" w:cstheme="minorHAnsi"/>
            <w:color w:val="2D74B5"/>
            <w:spacing w:val="-1"/>
            <w:sz w:val="24"/>
            <w:szCs w:val="24"/>
            <w:u w:val="single" w:color="0462C1"/>
          </w:rPr>
          <w:t xml:space="preserve"> Queen’s</w:t>
        </w:r>
        <w:r w:rsidR="00E47041" w:rsidRPr="00582F7D">
          <w:rPr>
            <w:rFonts w:asciiTheme="minorHAnsi" w:hAnsiTheme="minorHAnsi" w:cstheme="minorHAnsi"/>
            <w:color w:val="2D74B5"/>
            <w:sz w:val="24"/>
            <w:szCs w:val="24"/>
            <w:u w:val="single" w:color="0462C1"/>
          </w:rPr>
          <w:t xml:space="preserve"> </w:t>
        </w:r>
        <w:r w:rsidR="00E47041" w:rsidRPr="00582F7D">
          <w:rPr>
            <w:rFonts w:asciiTheme="minorHAnsi" w:hAnsiTheme="minorHAnsi" w:cstheme="minorHAnsi"/>
            <w:color w:val="2D74B5"/>
            <w:spacing w:val="-1"/>
            <w:sz w:val="24"/>
            <w:szCs w:val="24"/>
            <w:u w:val="single" w:color="0462C1"/>
          </w:rPr>
          <w:t>University</w:t>
        </w:r>
      </w:hyperlink>
    </w:p>
    <w:p w14:paraId="4B665537" w14:textId="77777777" w:rsidR="00582F7D" w:rsidRPr="00582F7D" w:rsidRDefault="00582F7D" w:rsidP="00582F7D"/>
    <w:p w14:paraId="4183FD7E" w14:textId="77777777" w:rsidR="00582F7D" w:rsidRPr="00582F7D" w:rsidRDefault="00582F7D" w:rsidP="00582F7D"/>
    <w:p w14:paraId="4F1780E2" w14:textId="77777777" w:rsidR="00582F7D" w:rsidRPr="00582F7D" w:rsidRDefault="00582F7D" w:rsidP="00582F7D"/>
    <w:p w14:paraId="5BD6FAC6" w14:textId="77777777" w:rsidR="00582F7D" w:rsidRPr="00582F7D" w:rsidRDefault="00582F7D" w:rsidP="00582F7D"/>
    <w:p w14:paraId="25F5815B" w14:textId="77777777" w:rsidR="00582F7D" w:rsidRPr="00582F7D" w:rsidRDefault="00582F7D" w:rsidP="00582F7D"/>
    <w:p w14:paraId="2BA94718" w14:textId="77777777" w:rsidR="00582F7D" w:rsidRPr="00582F7D" w:rsidRDefault="00582F7D" w:rsidP="00582F7D"/>
    <w:p w14:paraId="1AF9AD05" w14:textId="77777777" w:rsidR="00582F7D" w:rsidRPr="00582F7D" w:rsidRDefault="00582F7D" w:rsidP="00582F7D"/>
    <w:p w14:paraId="077D8081" w14:textId="77777777" w:rsidR="00582F7D" w:rsidRPr="00582F7D" w:rsidRDefault="00582F7D" w:rsidP="00582F7D"/>
    <w:p w14:paraId="3E91D350" w14:textId="77777777" w:rsidR="00582F7D" w:rsidRPr="00582F7D" w:rsidRDefault="00582F7D" w:rsidP="00582F7D"/>
    <w:p w14:paraId="125E5FF5" w14:textId="4100FAAA" w:rsidR="00082FF0" w:rsidRPr="00582F7D" w:rsidRDefault="00582F7D" w:rsidP="00582F7D">
      <w:pPr>
        <w:tabs>
          <w:tab w:val="left" w:pos="3375"/>
        </w:tabs>
      </w:pPr>
      <w:r>
        <w:tab/>
      </w:r>
    </w:p>
    <w:sectPr w:rsidR="00082FF0" w:rsidRPr="00582F7D" w:rsidSect="00703B9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B6EA" w14:textId="77777777" w:rsidR="00E9780F" w:rsidRDefault="00E9780F" w:rsidP="00D55512">
      <w:pPr>
        <w:spacing w:after="0" w:line="240" w:lineRule="auto"/>
      </w:pPr>
      <w:r>
        <w:separator/>
      </w:r>
    </w:p>
  </w:endnote>
  <w:endnote w:type="continuationSeparator" w:id="0">
    <w:p w14:paraId="3BDFD2AE" w14:textId="77777777" w:rsidR="00E9780F" w:rsidRDefault="00E9780F" w:rsidP="00D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EDED" w14:textId="4199D6B6" w:rsidR="00D55512" w:rsidRPr="00582F7D" w:rsidRDefault="00140286" w:rsidP="00416F69">
    <w:pPr>
      <w:pStyle w:val="Footer"/>
      <w:rPr>
        <w:rFonts w:ascii="Calibri" w:hAnsi="Calibri" w:cs="Calibri"/>
        <w:i/>
        <w:sz w:val="20"/>
        <w:szCs w:val="20"/>
      </w:rPr>
    </w:pPr>
    <w:r w:rsidRPr="00582F7D">
      <w:rPr>
        <w:rFonts w:ascii="Calibri" w:hAnsi="Calibri" w:cs="Calibri"/>
        <w:i/>
        <w:sz w:val="20"/>
        <w:szCs w:val="20"/>
      </w:rPr>
      <w:t xml:space="preserve">Research Ethics Data Security Recommendations </w:t>
    </w:r>
    <w:r w:rsidR="00E47041" w:rsidRPr="00582F7D">
      <w:rPr>
        <w:rFonts w:ascii="Calibri" w:hAnsi="Calibri" w:cs="Calibri"/>
        <w:i/>
        <w:sz w:val="20"/>
        <w:szCs w:val="20"/>
      </w:rPr>
      <w:t>v.2018FEB06</w:t>
    </w:r>
    <w:r w:rsidR="00D55512" w:rsidRPr="00582F7D">
      <w:rPr>
        <w:rFonts w:ascii="Calibri" w:hAnsi="Calibri" w:cs="Calibri"/>
        <w:i/>
        <w:sz w:val="20"/>
      </w:rPr>
      <w:tab/>
      <w:t xml:space="preserve">Page </w:t>
    </w:r>
    <w:r w:rsidR="00D55512" w:rsidRPr="00582F7D">
      <w:rPr>
        <w:rFonts w:ascii="Calibri" w:hAnsi="Calibri" w:cs="Calibri"/>
        <w:b/>
        <w:bCs/>
        <w:i/>
        <w:sz w:val="20"/>
      </w:rPr>
      <w:fldChar w:fldCharType="begin"/>
    </w:r>
    <w:r w:rsidR="00D55512" w:rsidRPr="00582F7D">
      <w:rPr>
        <w:rFonts w:ascii="Calibri" w:hAnsi="Calibri" w:cs="Calibri"/>
        <w:b/>
        <w:bCs/>
        <w:i/>
        <w:sz w:val="20"/>
      </w:rPr>
      <w:instrText xml:space="preserve"> PAGE </w:instrText>
    </w:r>
    <w:r w:rsidR="00D55512" w:rsidRPr="00582F7D">
      <w:rPr>
        <w:rFonts w:ascii="Calibri" w:hAnsi="Calibri" w:cs="Calibri"/>
        <w:b/>
        <w:bCs/>
        <w:i/>
        <w:sz w:val="20"/>
      </w:rPr>
      <w:fldChar w:fldCharType="separate"/>
    </w:r>
    <w:r w:rsidR="00377A55">
      <w:rPr>
        <w:rFonts w:ascii="Calibri" w:hAnsi="Calibri" w:cs="Calibri"/>
        <w:b/>
        <w:bCs/>
        <w:i/>
        <w:noProof/>
        <w:sz w:val="20"/>
      </w:rPr>
      <w:t>1</w:t>
    </w:r>
    <w:r w:rsidR="00D55512" w:rsidRPr="00582F7D">
      <w:rPr>
        <w:rFonts w:ascii="Calibri" w:hAnsi="Calibri" w:cs="Calibri"/>
        <w:b/>
        <w:bCs/>
        <w:i/>
        <w:sz w:val="20"/>
      </w:rPr>
      <w:fldChar w:fldCharType="end"/>
    </w:r>
    <w:r w:rsidR="00D55512" w:rsidRPr="00582F7D">
      <w:rPr>
        <w:rFonts w:ascii="Calibri" w:hAnsi="Calibri" w:cs="Calibri"/>
        <w:i/>
        <w:sz w:val="20"/>
      </w:rPr>
      <w:t xml:space="preserve"> of </w:t>
    </w:r>
    <w:r w:rsidR="00D55512" w:rsidRPr="00582F7D">
      <w:rPr>
        <w:rFonts w:ascii="Calibri" w:hAnsi="Calibri" w:cs="Calibri"/>
        <w:b/>
        <w:bCs/>
        <w:i/>
        <w:sz w:val="20"/>
      </w:rPr>
      <w:fldChar w:fldCharType="begin"/>
    </w:r>
    <w:r w:rsidR="00D55512" w:rsidRPr="00582F7D">
      <w:rPr>
        <w:rFonts w:ascii="Calibri" w:hAnsi="Calibri" w:cs="Calibri"/>
        <w:b/>
        <w:bCs/>
        <w:i/>
        <w:sz w:val="20"/>
      </w:rPr>
      <w:instrText xml:space="preserve"> NUMPAGES  </w:instrText>
    </w:r>
    <w:r w:rsidR="00D55512" w:rsidRPr="00582F7D">
      <w:rPr>
        <w:rFonts w:ascii="Calibri" w:hAnsi="Calibri" w:cs="Calibri"/>
        <w:b/>
        <w:bCs/>
        <w:i/>
        <w:sz w:val="20"/>
      </w:rPr>
      <w:fldChar w:fldCharType="separate"/>
    </w:r>
    <w:r w:rsidR="00377A55">
      <w:rPr>
        <w:rFonts w:ascii="Calibri" w:hAnsi="Calibri" w:cs="Calibri"/>
        <w:b/>
        <w:bCs/>
        <w:i/>
        <w:noProof/>
        <w:sz w:val="20"/>
      </w:rPr>
      <w:t>1</w:t>
    </w:r>
    <w:r w:rsidR="00D55512" w:rsidRPr="00582F7D">
      <w:rPr>
        <w:rFonts w:ascii="Calibri" w:hAnsi="Calibri" w:cs="Calibri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EB63" w14:textId="77777777" w:rsidR="00E9780F" w:rsidRDefault="00E9780F" w:rsidP="00D55512">
      <w:pPr>
        <w:spacing w:after="0" w:line="240" w:lineRule="auto"/>
      </w:pPr>
      <w:r>
        <w:separator/>
      </w:r>
    </w:p>
  </w:footnote>
  <w:footnote w:type="continuationSeparator" w:id="0">
    <w:p w14:paraId="103C6E58" w14:textId="77777777" w:rsidR="00E9780F" w:rsidRDefault="00E9780F" w:rsidP="00D5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3299" w14:textId="77777777" w:rsidR="00D55512" w:rsidRPr="00E47041" w:rsidRDefault="00D55512">
    <w:pPr>
      <w:pStyle w:val="Header"/>
      <w:rPr>
        <w:rFonts w:ascii="Arial" w:hAnsi="Arial" w:cs="Arial"/>
      </w:rPr>
    </w:pPr>
    <w:r w:rsidRPr="00E47041">
      <w:rPr>
        <w:rFonts w:ascii="Arial" w:hAnsi="Arial" w:cs="Arial"/>
        <w:noProof/>
      </w:rPr>
      <w:drawing>
        <wp:inline distT="0" distB="0" distL="0" distR="0" wp14:anchorId="4A85AE81" wp14:editId="05846827">
          <wp:extent cx="6762750" cy="1074426"/>
          <wp:effectExtent l="0" t="0" r="0" b="0"/>
          <wp:docPr id="1" name="Picture 1" descr="tricolour curves-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icolour curves-colou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4" b="73978"/>
                  <a:stretch/>
                </pic:blipFill>
                <pic:spPr bwMode="auto">
                  <a:xfrm>
                    <a:off x="0" y="0"/>
                    <a:ext cx="6812595" cy="10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D3E"/>
    <w:multiLevelType w:val="hybridMultilevel"/>
    <w:tmpl w:val="78CA632A"/>
    <w:lvl w:ilvl="0" w:tplc="3EE06A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2"/>
    <w:rsid w:val="00082FF0"/>
    <w:rsid w:val="00140286"/>
    <w:rsid w:val="00177211"/>
    <w:rsid w:val="001B20B2"/>
    <w:rsid w:val="00377A55"/>
    <w:rsid w:val="00416F69"/>
    <w:rsid w:val="00483574"/>
    <w:rsid w:val="00560389"/>
    <w:rsid w:val="00582F7D"/>
    <w:rsid w:val="006458C4"/>
    <w:rsid w:val="00703B9D"/>
    <w:rsid w:val="008A5BC8"/>
    <w:rsid w:val="008A652F"/>
    <w:rsid w:val="00AE4F94"/>
    <w:rsid w:val="00B31A49"/>
    <w:rsid w:val="00C4115A"/>
    <w:rsid w:val="00D55512"/>
    <w:rsid w:val="00E0177F"/>
    <w:rsid w:val="00E47041"/>
    <w:rsid w:val="00E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23C71"/>
  <w15:chartTrackingRefBased/>
  <w15:docId w15:val="{63CD0243-32AA-4749-976B-3752F8D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47041"/>
    <w:pPr>
      <w:widowControl w:val="0"/>
      <w:spacing w:before="69" w:after="0" w:line="240" w:lineRule="auto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12"/>
  </w:style>
  <w:style w:type="paragraph" w:styleId="Footer">
    <w:name w:val="footer"/>
    <w:basedOn w:val="Normal"/>
    <w:link w:val="FooterChar"/>
    <w:uiPriority w:val="99"/>
    <w:unhideWhenUsed/>
    <w:rsid w:val="00D5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12"/>
  </w:style>
  <w:style w:type="character" w:customStyle="1" w:styleId="Heading1Char">
    <w:name w:val="Heading 1 Char"/>
    <w:basedOn w:val="DefaultParagraphFont"/>
    <w:link w:val="Heading1"/>
    <w:uiPriority w:val="1"/>
    <w:rsid w:val="00E47041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7041"/>
    <w:pPr>
      <w:widowControl w:val="0"/>
      <w:spacing w:before="21" w:after="0" w:line="240" w:lineRule="auto"/>
      <w:ind w:left="918" w:hanging="3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47041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47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0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secretariat/policies/senate/electronic-information-security-policy-framework" TargetMode="External"/><Relationship Id="rId13" Type="http://schemas.openxmlformats.org/officeDocument/2006/relationships/hyperlink" Target="http://guides.library.queensu.ca/r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.ethics.gc.ca/eng/policy-politique/initiatives/tcps2-eptc2/chapter5-chapitre5/" TargetMode="External"/><Relationship Id="rId12" Type="http://schemas.openxmlformats.org/officeDocument/2006/relationships/hyperlink" Target="http://www.queensu.ca/its/security/encryption-serv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ensu.ca/its/security/best-practices/mobile-device-secur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queensu.ca/its/security/best-pract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share.queensu.ca/Groups/USEC/Legal/WebDocs/Published/Fact%20Sheet%20-%20Data%20Security%20and%20Encryptio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Walker</dc:creator>
  <cp:keywords/>
  <dc:description/>
  <cp:lastModifiedBy>Jennifer Couture</cp:lastModifiedBy>
  <cp:revision>2</cp:revision>
  <dcterms:created xsi:type="dcterms:W3CDTF">2019-01-12T02:37:00Z</dcterms:created>
  <dcterms:modified xsi:type="dcterms:W3CDTF">2019-01-12T02:37:00Z</dcterms:modified>
</cp:coreProperties>
</file>