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F9D" w:rsidRPr="00C77D01" w:rsidRDefault="00B950A8" w:rsidP="0033169E">
      <w:pPr>
        <w:ind w:right="720"/>
        <w:jc w:val="center"/>
        <w:rPr>
          <w:rFonts w:asciiTheme="minorHAnsi" w:hAnsiTheme="minorHAnsi" w:cstheme="minorHAnsi"/>
          <w:b/>
          <w:lang w:val="en-US"/>
        </w:rPr>
      </w:pPr>
      <w:r w:rsidRPr="00C77D01">
        <w:rPr>
          <w:rFonts w:asciiTheme="minorHAnsi" w:hAnsiTheme="minorHAnsi" w:cstheme="minorHAnsi"/>
          <w:b/>
          <w:lang w:val="en-US"/>
        </w:rPr>
        <w:t>Social Sciences and Humanities Research Council – Institutional Grant</w:t>
      </w:r>
    </w:p>
    <w:p w:rsidR="00A57572" w:rsidRPr="00C77D01" w:rsidRDefault="00A57572" w:rsidP="0033169E">
      <w:pPr>
        <w:ind w:right="720"/>
        <w:jc w:val="center"/>
        <w:rPr>
          <w:rFonts w:asciiTheme="minorHAnsi" w:hAnsiTheme="minorHAnsi" w:cstheme="minorHAnsi"/>
          <w:b/>
          <w:lang w:val="en-US"/>
        </w:rPr>
      </w:pPr>
      <w:r w:rsidRPr="00C77D01">
        <w:rPr>
          <w:rFonts w:asciiTheme="minorHAnsi" w:hAnsiTheme="minorHAnsi" w:cstheme="minorHAnsi"/>
          <w:b/>
          <w:lang w:val="en-US"/>
        </w:rPr>
        <w:t>Guidelines</w:t>
      </w:r>
    </w:p>
    <w:p w:rsidR="00D535E2" w:rsidRPr="00C77D01" w:rsidRDefault="00D535E2" w:rsidP="008520BA">
      <w:pPr>
        <w:ind w:left="360" w:right="720"/>
        <w:rPr>
          <w:rFonts w:asciiTheme="minorHAnsi" w:hAnsiTheme="minorHAnsi" w:cstheme="minorHAnsi"/>
          <w:b/>
          <w:u w:val="single"/>
          <w:lang w:val="en"/>
        </w:rPr>
      </w:pPr>
    </w:p>
    <w:p w:rsidR="001D4B31" w:rsidRPr="00C77D01" w:rsidRDefault="001D4B31" w:rsidP="008520BA">
      <w:pPr>
        <w:ind w:left="360" w:right="720"/>
        <w:rPr>
          <w:rFonts w:asciiTheme="minorHAnsi" w:hAnsiTheme="minorHAnsi" w:cstheme="minorHAnsi"/>
          <w:b/>
          <w:u w:val="single"/>
          <w:lang w:val="en"/>
        </w:rPr>
      </w:pPr>
      <w:r w:rsidRPr="00C77D01">
        <w:rPr>
          <w:rFonts w:asciiTheme="minorHAnsi" w:hAnsiTheme="minorHAnsi" w:cstheme="minorHAnsi"/>
          <w:b/>
          <w:u w:val="single"/>
          <w:lang w:val="en"/>
        </w:rPr>
        <w:t>Description</w:t>
      </w:r>
    </w:p>
    <w:p w:rsidR="00D535E2" w:rsidRPr="00C77D01" w:rsidRDefault="00D535E2" w:rsidP="008520BA">
      <w:pPr>
        <w:ind w:left="360" w:right="720"/>
        <w:rPr>
          <w:rFonts w:asciiTheme="minorHAnsi" w:hAnsiTheme="minorHAnsi" w:cstheme="minorHAnsi"/>
          <w:b/>
          <w:lang w:val="en-US"/>
        </w:rPr>
      </w:pPr>
    </w:p>
    <w:p w:rsidR="001F137B" w:rsidRPr="00C77D01" w:rsidRDefault="001D4B31" w:rsidP="00DB39AF">
      <w:pPr>
        <w:pStyle w:val="NormalWeb"/>
        <w:spacing w:before="0" w:beforeAutospacing="0" w:after="0" w:afterAutospacing="0"/>
        <w:ind w:left="360" w:right="720"/>
        <w:rPr>
          <w:rFonts w:asciiTheme="minorHAnsi" w:hAnsiTheme="minorHAnsi" w:cstheme="minorHAnsi"/>
          <w:lang w:val="en"/>
        </w:rPr>
      </w:pPr>
      <w:r w:rsidRPr="00C77D01">
        <w:rPr>
          <w:rFonts w:asciiTheme="minorHAnsi" w:hAnsiTheme="minorHAnsi" w:cstheme="minorHAnsi"/>
          <w:lang w:val="en"/>
        </w:rPr>
        <w:t>Through its SSHRC Institutional Grants (SIG) funding opportunity, SSHRC provides annual block grants to help eligible Canadian postsecondary institutions fund, through their own merit review processes, small-scale research and research-related activities by their faculty in the social sciences and humanities. SIG funds are intended to help Canadian postsecondary institutions strengthen research excellence in the social sciences and humanities.</w:t>
      </w:r>
    </w:p>
    <w:p w:rsidR="0054254C" w:rsidRPr="00C77D01" w:rsidRDefault="0054254C" w:rsidP="0054254C">
      <w:pPr>
        <w:pStyle w:val="NormalWeb"/>
        <w:spacing w:before="0" w:beforeAutospacing="0" w:after="0" w:afterAutospacing="0"/>
        <w:ind w:left="360" w:right="720"/>
        <w:rPr>
          <w:rFonts w:asciiTheme="minorHAnsi" w:hAnsiTheme="minorHAnsi" w:cstheme="minorHAnsi"/>
          <w:b/>
          <w:u w:val="single"/>
          <w:lang w:val="en"/>
        </w:rPr>
      </w:pPr>
    </w:p>
    <w:p w:rsidR="001D4B31" w:rsidRPr="00C77D01" w:rsidRDefault="001D4B31" w:rsidP="0054254C">
      <w:pPr>
        <w:pStyle w:val="NormalWeb"/>
        <w:spacing w:before="0" w:beforeAutospacing="0" w:after="0" w:afterAutospacing="0"/>
        <w:ind w:left="360" w:right="720"/>
        <w:rPr>
          <w:rFonts w:asciiTheme="minorHAnsi" w:hAnsiTheme="minorHAnsi" w:cstheme="minorHAnsi"/>
          <w:b/>
          <w:u w:val="single"/>
          <w:lang w:val="en"/>
        </w:rPr>
      </w:pPr>
      <w:r w:rsidRPr="00C77D01">
        <w:rPr>
          <w:rFonts w:asciiTheme="minorHAnsi" w:hAnsiTheme="minorHAnsi" w:cstheme="minorHAnsi"/>
          <w:b/>
          <w:u w:val="single"/>
          <w:lang w:val="en"/>
        </w:rPr>
        <w:t>Grants</w:t>
      </w:r>
    </w:p>
    <w:p w:rsidR="0054254C" w:rsidRPr="00C77D01" w:rsidRDefault="0054254C" w:rsidP="008520BA">
      <w:pPr>
        <w:pStyle w:val="NoSpacing"/>
        <w:ind w:left="360" w:right="720"/>
        <w:rPr>
          <w:rFonts w:cstheme="minorHAnsi"/>
          <w:sz w:val="24"/>
          <w:szCs w:val="24"/>
          <w:lang w:val="en"/>
        </w:rPr>
      </w:pPr>
    </w:p>
    <w:p w:rsidR="001D4B31" w:rsidRPr="00C77D01" w:rsidRDefault="00B765E1" w:rsidP="008520BA">
      <w:pPr>
        <w:pStyle w:val="NoSpacing"/>
        <w:ind w:left="360" w:right="720"/>
        <w:rPr>
          <w:rFonts w:cstheme="minorHAnsi"/>
          <w:sz w:val="24"/>
          <w:szCs w:val="24"/>
          <w:lang w:val="en"/>
        </w:rPr>
      </w:pPr>
      <w:r w:rsidRPr="00C77D01">
        <w:rPr>
          <w:rFonts w:cstheme="minorHAnsi"/>
          <w:sz w:val="24"/>
          <w:szCs w:val="24"/>
          <w:lang w:val="en"/>
        </w:rPr>
        <w:t>F</w:t>
      </w:r>
      <w:r w:rsidR="00822ABE" w:rsidRPr="00C77D01">
        <w:rPr>
          <w:rFonts w:cstheme="minorHAnsi"/>
          <w:sz w:val="24"/>
          <w:szCs w:val="24"/>
          <w:lang w:val="en"/>
        </w:rPr>
        <w:t>unding</w:t>
      </w:r>
      <w:r w:rsidR="0068208E" w:rsidRPr="00C77D01">
        <w:rPr>
          <w:rFonts w:cstheme="minorHAnsi"/>
          <w:sz w:val="24"/>
          <w:szCs w:val="24"/>
          <w:lang w:val="en"/>
        </w:rPr>
        <w:t xml:space="preserve"> is </w:t>
      </w:r>
      <w:r w:rsidR="001D4B31" w:rsidRPr="00C77D01">
        <w:rPr>
          <w:rFonts w:cstheme="minorHAnsi"/>
          <w:sz w:val="24"/>
          <w:szCs w:val="24"/>
          <w:lang w:val="en"/>
        </w:rPr>
        <w:t>limited to a maximum of $7,000</w:t>
      </w:r>
      <w:r w:rsidR="001B48F5">
        <w:rPr>
          <w:rFonts w:cstheme="minorHAnsi"/>
          <w:sz w:val="24"/>
          <w:szCs w:val="24"/>
          <w:lang w:val="en"/>
        </w:rPr>
        <w:t xml:space="preserve"> (funding end date March 31, 2023)</w:t>
      </w:r>
      <w:r w:rsidR="0068208E" w:rsidRPr="00C77D01">
        <w:rPr>
          <w:rFonts w:cstheme="minorHAnsi"/>
          <w:sz w:val="24"/>
          <w:szCs w:val="24"/>
          <w:lang w:val="en"/>
        </w:rPr>
        <w:t xml:space="preserve">. Funding can be requested under only </w:t>
      </w:r>
      <w:r w:rsidR="0068208E" w:rsidRPr="00C77D01">
        <w:rPr>
          <w:rFonts w:cstheme="minorHAnsi"/>
          <w:sz w:val="24"/>
          <w:szCs w:val="24"/>
          <w:u w:val="single"/>
          <w:lang w:val="en"/>
        </w:rPr>
        <w:t>one</w:t>
      </w:r>
      <w:r w:rsidR="0068208E" w:rsidRPr="00C77D01">
        <w:rPr>
          <w:rFonts w:cstheme="minorHAnsi"/>
          <w:sz w:val="24"/>
          <w:szCs w:val="24"/>
          <w:lang w:val="en"/>
        </w:rPr>
        <w:t xml:space="preserve"> of the following two granting programs: </w:t>
      </w:r>
    </w:p>
    <w:p w:rsidR="0054254C" w:rsidRPr="00C77D01" w:rsidRDefault="0054254C" w:rsidP="0054254C">
      <w:pPr>
        <w:spacing w:line="360" w:lineRule="atLeast"/>
        <w:ind w:right="720" w:firstLine="720"/>
        <w:rPr>
          <w:rFonts w:asciiTheme="minorHAnsi" w:hAnsiTheme="minorHAnsi" w:cstheme="minorHAnsi"/>
          <w:b/>
          <w:lang w:val="en"/>
        </w:rPr>
      </w:pPr>
    </w:p>
    <w:p w:rsidR="001D4B31" w:rsidRPr="00C77D01" w:rsidRDefault="001D4B31" w:rsidP="0054254C">
      <w:pPr>
        <w:spacing w:line="360" w:lineRule="atLeast"/>
        <w:ind w:right="720" w:firstLine="720"/>
        <w:rPr>
          <w:rFonts w:asciiTheme="minorHAnsi" w:hAnsiTheme="minorHAnsi" w:cstheme="minorHAnsi"/>
          <w:b/>
          <w:lang w:val="en"/>
        </w:rPr>
      </w:pPr>
      <w:r w:rsidRPr="00C77D01">
        <w:rPr>
          <w:rFonts w:asciiTheme="minorHAnsi" w:hAnsiTheme="minorHAnsi" w:cstheme="minorHAnsi"/>
          <w:b/>
          <w:lang w:val="en"/>
        </w:rPr>
        <w:t>SSHRC Explore Grants, which:</w:t>
      </w:r>
    </w:p>
    <w:p w:rsidR="0054254C" w:rsidRPr="00C77D01" w:rsidRDefault="0054254C" w:rsidP="0054254C">
      <w:pPr>
        <w:spacing w:line="360" w:lineRule="atLeast"/>
        <w:ind w:right="720" w:firstLine="720"/>
        <w:rPr>
          <w:rFonts w:asciiTheme="minorHAnsi" w:hAnsiTheme="minorHAnsi" w:cstheme="minorHAnsi"/>
          <w:b/>
          <w:lang w:val="en"/>
        </w:rPr>
      </w:pPr>
    </w:p>
    <w:p w:rsidR="001D4B31" w:rsidRPr="00C77D01" w:rsidRDefault="00981E89" w:rsidP="0054254C">
      <w:pPr>
        <w:numPr>
          <w:ilvl w:val="1"/>
          <w:numId w:val="38"/>
        </w:numPr>
        <w:spacing w:line="360" w:lineRule="atLeast"/>
        <w:ind w:right="720"/>
        <w:rPr>
          <w:rFonts w:asciiTheme="minorHAnsi" w:hAnsiTheme="minorHAnsi" w:cstheme="minorHAnsi"/>
          <w:lang w:val="en"/>
        </w:rPr>
      </w:pPr>
      <w:r w:rsidRPr="00C77D01">
        <w:rPr>
          <w:rFonts w:asciiTheme="minorHAnsi" w:hAnsiTheme="minorHAnsi" w:cstheme="minorHAnsi"/>
          <w:lang w:val="en"/>
        </w:rPr>
        <w:t>support s</w:t>
      </w:r>
      <w:r w:rsidR="001D4B31" w:rsidRPr="00C77D01">
        <w:rPr>
          <w:rFonts w:asciiTheme="minorHAnsi" w:hAnsiTheme="minorHAnsi" w:cstheme="minorHAnsi"/>
          <w:lang w:val="en"/>
        </w:rPr>
        <w:t>ocial sciences and humanities researchers with modest research funding requirements at any stage of career;</w:t>
      </w:r>
    </w:p>
    <w:p w:rsidR="001D4B31" w:rsidRPr="00C77D01" w:rsidRDefault="001D4B31" w:rsidP="0033169E">
      <w:pPr>
        <w:numPr>
          <w:ilvl w:val="1"/>
          <w:numId w:val="38"/>
        </w:numPr>
        <w:spacing w:before="100" w:beforeAutospacing="1" w:after="100" w:afterAutospacing="1" w:line="360" w:lineRule="atLeast"/>
        <w:ind w:right="720"/>
        <w:rPr>
          <w:rFonts w:asciiTheme="minorHAnsi" w:hAnsiTheme="minorHAnsi" w:cstheme="minorHAnsi"/>
          <w:lang w:val="en"/>
        </w:rPr>
      </w:pPr>
      <w:r w:rsidRPr="00C77D01">
        <w:rPr>
          <w:rFonts w:asciiTheme="minorHAnsi" w:hAnsiTheme="minorHAnsi" w:cstheme="minorHAnsi"/>
          <w:lang w:val="en"/>
        </w:rPr>
        <w:t>allow for small-scale innovation and experimentation by providing funding to develop a research project or conduct pilot work; and</w:t>
      </w:r>
    </w:p>
    <w:p w:rsidR="001D4B31" w:rsidRPr="00C77D01" w:rsidRDefault="001D4B31" w:rsidP="0054254C">
      <w:pPr>
        <w:numPr>
          <w:ilvl w:val="1"/>
          <w:numId w:val="38"/>
        </w:numPr>
        <w:spacing w:line="360" w:lineRule="atLeast"/>
        <w:ind w:right="720"/>
        <w:rPr>
          <w:rFonts w:asciiTheme="minorHAnsi" w:hAnsiTheme="minorHAnsi" w:cstheme="minorHAnsi"/>
          <w:lang w:val="en"/>
        </w:rPr>
      </w:pPr>
      <w:r w:rsidRPr="00C77D01">
        <w:rPr>
          <w:rFonts w:asciiTheme="minorHAnsi" w:hAnsiTheme="minorHAnsi" w:cstheme="minorHAnsi"/>
          <w:lang w:val="en"/>
        </w:rPr>
        <w:t>enable researchers to hire students at any level to participate in their research projects thereby contributing to their professional development; and</w:t>
      </w:r>
    </w:p>
    <w:p w:rsidR="0054254C" w:rsidRPr="00C77D01" w:rsidRDefault="0054254C" w:rsidP="0054254C">
      <w:pPr>
        <w:spacing w:line="360" w:lineRule="atLeast"/>
        <w:ind w:left="1440" w:right="720"/>
        <w:rPr>
          <w:rFonts w:asciiTheme="minorHAnsi" w:hAnsiTheme="minorHAnsi" w:cstheme="minorHAnsi"/>
          <w:lang w:val="en"/>
        </w:rPr>
      </w:pPr>
    </w:p>
    <w:p w:rsidR="001D4B31" w:rsidRPr="00C77D01" w:rsidRDefault="001D4B31" w:rsidP="0054254C">
      <w:pPr>
        <w:spacing w:line="360" w:lineRule="atLeast"/>
        <w:ind w:right="720" w:firstLine="720"/>
        <w:rPr>
          <w:rFonts w:asciiTheme="minorHAnsi" w:hAnsiTheme="minorHAnsi" w:cstheme="minorHAnsi"/>
          <w:b/>
          <w:lang w:val="en"/>
        </w:rPr>
      </w:pPr>
      <w:r w:rsidRPr="00C77D01">
        <w:rPr>
          <w:rFonts w:asciiTheme="minorHAnsi" w:hAnsiTheme="minorHAnsi" w:cstheme="minorHAnsi"/>
          <w:b/>
          <w:lang w:val="en"/>
        </w:rPr>
        <w:t>SSHRC Exchange Grants, which:</w:t>
      </w:r>
    </w:p>
    <w:p w:rsidR="0079305B" w:rsidRPr="00C77D01" w:rsidRDefault="0079305B" w:rsidP="0054254C">
      <w:pPr>
        <w:spacing w:line="360" w:lineRule="atLeast"/>
        <w:ind w:right="720" w:firstLine="720"/>
        <w:rPr>
          <w:rFonts w:asciiTheme="minorHAnsi" w:hAnsiTheme="minorHAnsi" w:cstheme="minorHAnsi"/>
          <w:b/>
          <w:lang w:val="en"/>
        </w:rPr>
      </w:pPr>
    </w:p>
    <w:p w:rsidR="001D4B31" w:rsidRPr="00C77D01" w:rsidRDefault="001D4B31" w:rsidP="0079305B">
      <w:pPr>
        <w:numPr>
          <w:ilvl w:val="1"/>
          <w:numId w:val="38"/>
        </w:numPr>
        <w:spacing w:line="360" w:lineRule="atLeast"/>
        <w:ind w:right="720"/>
        <w:rPr>
          <w:rFonts w:asciiTheme="minorHAnsi" w:hAnsiTheme="minorHAnsi" w:cstheme="minorHAnsi"/>
          <w:lang w:val="en"/>
        </w:rPr>
      </w:pPr>
      <w:r w:rsidRPr="00C77D01">
        <w:rPr>
          <w:rFonts w:asciiTheme="minorHAnsi" w:hAnsiTheme="minorHAnsi" w:cstheme="minorHAnsi"/>
          <w:lang w:val="en"/>
        </w:rPr>
        <w:t>support the organization of small-scale knowledge mobilization activities, such as workshops and seminars, in order to encourage collaboration and the dissemination of research results both within and beyond the academic community; and</w:t>
      </w:r>
    </w:p>
    <w:p w:rsidR="0079305B" w:rsidRPr="00C77D01" w:rsidRDefault="0006664F" w:rsidP="009442C7">
      <w:pPr>
        <w:numPr>
          <w:ilvl w:val="1"/>
          <w:numId w:val="38"/>
        </w:numPr>
        <w:spacing w:line="360" w:lineRule="atLeast"/>
        <w:ind w:right="720"/>
        <w:rPr>
          <w:rFonts w:asciiTheme="minorHAnsi" w:hAnsiTheme="minorHAnsi" w:cstheme="minorHAnsi"/>
          <w:lang w:val="en"/>
        </w:rPr>
      </w:pPr>
      <w:r>
        <w:rPr>
          <w:rFonts w:asciiTheme="minorHAnsi" w:hAnsiTheme="minorHAnsi" w:cstheme="minorHAnsi"/>
          <w:lang w:val="en"/>
        </w:rPr>
        <w:t xml:space="preserve">allow researchers to </w:t>
      </w:r>
      <w:r w:rsidR="001D4B31" w:rsidRPr="00C77D01">
        <w:rPr>
          <w:rFonts w:asciiTheme="minorHAnsi" w:hAnsiTheme="minorHAnsi" w:cstheme="minorHAnsi"/>
          <w:lang w:val="en"/>
        </w:rPr>
        <w:t xml:space="preserve">present their research at </w:t>
      </w:r>
      <w:r>
        <w:rPr>
          <w:rFonts w:asciiTheme="minorHAnsi" w:hAnsiTheme="minorHAnsi" w:cstheme="minorHAnsi"/>
          <w:lang w:val="en"/>
        </w:rPr>
        <w:t xml:space="preserve">significant </w:t>
      </w:r>
      <w:r w:rsidR="001D4B31" w:rsidRPr="00C77D01">
        <w:rPr>
          <w:rFonts w:asciiTheme="minorHAnsi" w:hAnsiTheme="minorHAnsi" w:cstheme="minorHAnsi"/>
          <w:lang w:val="en"/>
        </w:rPr>
        <w:t>scholarly conferences and other dissemination venues that align with SSHRC’s mandate in order to advance their careers and encourage the exchange of ideas and research results at the national and international level.</w:t>
      </w:r>
    </w:p>
    <w:p w:rsidR="00DB39AF" w:rsidRDefault="0006664F" w:rsidP="00A14C21">
      <w:pPr>
        <w:pStyle w:val="ListParagraph"/>
        <w:numPr>
          <w:ilvl w:val="0"/>
          <w:numId w:val="46"/>
        </w:numPr>
        <w:spacing w:before="100" w:beforeAutospacing="1" w:after="100" w:afterAutospacing="1" w:line="360" w:lineRule="atLeast"/>
        <w:ind w:left="1080" w:right="720"/>
        <w:rPr>
          <w:rFonts w:cstheme="minorHAnsi"/>
          <w:sz w:val="24"/>
          <w:szCs w:val="24"/>
          <w:lang w:val="en"/>
        </w:rPr>
      </w:pPr>
      <w:r>
        <w:rPr>
          <w:rFonts w:cstheme="minorHAnsi"/>
          <w:sz w:val="24"/>
          <w:szCs w:val="24"/>
          <w:lang w:val="en"/>
        </w:rPr>
        <w:t>Consideration will be given to emerging scholars who are preparing to submit their first major external grant application or returning scholars who have not recently applied for external funding.</w:t>
      </w:r>
      <w:r w:rsidR="006117E3">
        <w:rPr>
          <w:rFonts w:cstheme="minorHAnsi"/>
          <w:sz w:val="24"/>
          <w:szCs w:val="24"/>
          <w:lang w:val="en"/>
        </w:rPr>
        <w:t xml:space="preserve"> </w:t>
      </w:r>
      <w:r w:rsidR="00DB39AF">
        <w:rPr>
          <w:rFonts w:cstheme="minorHAnsi"/>
          <w:sz w:val="24"/>
          <w:szCs w:val="24"/>
          <w:lang w:val="en"/>
        </w:rPr>
        <w:t xml:space="preserve"> </w:t>
      </w:r>
    </w:p>
    <w:p w:rsidR="00A14C21" w:rsidRPr="00C77D01" w:rsidRDefault="00403F9D" w:rsidP="00A14C21">
      <w:pPr>
        <w:pStyle w:val="ListParagraph"/>
        <w:numPr>
          <w:ilvl w:val="0"/>
          <w:numId w:val="46"/>
        </w:numPr>
        <w:spacing w:before="100" w:beforeAutospacing="1" w:after="100" w:afterAutospacing="1" w:line="360" w:lineRule="atLeast"/>
        <w:ind w:left="1080" w:right="720"/>
        <w:rPr>
          <w:rFonts w:cstheme="minorHAnsi"/>
          <w:sz w:val="24"/>
          <w:szCs w:val="24"/>
          <w:lang w:val="en"/>
        </w:rPr>
      </w:pPr>
      <w:r w:rsidRPr="00C77D01">
        <w:rPr>
          <w:rFonts w:cstheme="minorHAnsi"/>
          <w:sz w:val="24"/>
          <w:szCs w:val="24"/>
          <w:lang w:val="en"/>
        </w:rPr>
        <w:lastRenderedPageBreak/>
        <w:t>The value of grants awarded to a single project</w:t>
      </w:r>
      <w:r w:rsidR="00815E92" w:rsidRPr="00C77D01">
        <w:rPr>
          <w:rFonts w:cstheme="minorHAnsi"/>
          <w:sz w:val="24"/>
          <w:szCs w:val="24"/>
          <w:lang w:val="en"/>
        </w:rPr>
        <w:t xml:space="preserve"> must not exceed $7,000</w:t>
      </w:r>
      <w:r w:rsidRPr="00C77D01">
        <w:rPr>
          <w:rFonts w:cstheme="minorHAnsi"/>
          <w:sz w:val="24"/>
          <w:szCs w:val="24"/>
          <w:lang w:val="en"/>
        </w:rPr>
        <w:t xml:space="preserve"> (note: large projects may not be simultaneously funded by several small grants).</w:t>
      </w:r>
    </w:p>
    <w:p w:rsidR="00A14C21" w:rsidRPr="00C77D01" w:rsidRDefault="00A14C21" w:rsidP="00A14C21">
      <w:pPr>
        <w:pStyle w:val="ListParagraph"/>
        <w:numPr>
          <w:ilvl w:val="0"/>
          <w:numId w:val="46"/>
        </w:numPr>
        <w:spacing w:before="100" w:beforeAutospacing="1" w:after="100" w:afterAutospacing="1" w:line="360" w:lineRule="atLeast"/>
        <w:ind w:left="1080" w:right="720"/>
        <w:rPr>
          <w:rFonts w:cstheme="minorHAnsi"/>
          <w:sz w:val="24"/>
          <w:szCs w:val="24"/>
          <w:lang w:val="en"/>
        </w:rPr>
      </w:pPr>
      <w:r w:rsidRPr="00C77D01">
        <w:rPr>
          <w:rFonts w:cstheme="minorHAnsi"/>
          <w:sz w:val="24"/>
          <w:szCs w:val="24"/>
          <w:lang w:val="en"/>
        </w:rPr>
        <w:t>I</w:t>
      </w:r>
      <w:r w:rsidR="00403F9D" w:rsidRPr="00C77D01">
        <w:rPr>
          <w:rFonts w:cstheme="minorHAnsi"/>
          <w:sz w:val="24"/>
          <w:szCs w:val="24"/>
          <w:lang w:val="en"/>
        </w:rPr>
        <w:t xml:space="preserve">ndividuals may not hold more than one SIG-funded grant </w:t>
      </w:r>
      <w:r w:rsidR="00815E92" w:rsidRPr="00C77D01">
        <w:rPr>
          <w:rFonts w:cstheme="minorHAnsi"/>
          <w:sz w:val="24"/>
          <w:szCs w:val="24"/>
          <w:lang w:val="en"/>
        </w:rPr>
        <w:t>at a time.</w:t>
      </w:r>
    </w:p>
    <w:p w:rsidR="00811AC7" w:rsidRPr="00C77D01" w:rsidRDefault="00403F9D" w:rsidP="00A14C21">
      <w:pPr>
        <w:pStyle w:val="ListParagraph"/>
        <w:numPr>
          <w:ilvl w:val="0"/>
          <w:numId w:val="46"/>
        </w:numPr>
        <w:spacing w:before="100" w:beforeAutospacing="1" w:after="100" w:afterAutospacing="1" w:line="360" w:lineRule="atLeast"/>
        <w:ind w:left="1080" w:right="720"/>
        <w:rPr>
          <w:rFonts w:cstheme="minorHAnsi"/>
          <w:sz w:val="24"/>
          <w:szCs w:val="24"/>
          <w:lang w:val="en"/>
        </w:rPr>
      </w:pPr>
      <w:r w:rsidRPr="00C77D01">
        <w:rPr>
          <w:rFonts w:cstheme="minorHAnsi"/>
          <w:sz w:val="24"/>
          <w:szCs w:val="24"/>
          <w:lang w:val="en"/>
        </w:rPr>
        <w:t>Grant recipients must acknowledge SSHRC support for their research or research-related activities.</w:t>
      </w:r>
    </w:p>
    <w:p w:rsidR="00811AC7" w:rsidRPr="00C77D01" w:rsidRDefault="00811AC7" w:rsidP="00F0193F">
      <w:pPr>
        <w:spacing w:before="100" w:beforeAutospacing="1" w:after="100" w:afterAutospacing="1" w:line="360" w:lineRule="atLeast"/>
        <w:ind w:left="360" w:right="720"/>
        <w:rPr>
          <w:rFonts w:asciiTheme="minorHAnsi" w:hAnsiTheme="minorHAnsi" w:cstheme="minorHAnsi"/>
          <w:b/>
          <w:u w:val="single"/>
          <w:lang w:val="en"/>
        </w:rPr>
      </w:pPr>
      <w:r w:rsidRPr="00C77D01">
        <w:rPr>
          <w:rFonts w:asciiTheme="minorHAnsi" w:hAnsiTheme="minorHAnsi" w:cstheme="minorHAnsi"/>
          <w:b/>
          <w:u w:val="single"/>
          <w:lang w:val="en"/>
        </w:rPr>
        <w:t>Eligibility Criteria</w:t>
      </w:r>
    </w:p>
    <w:p w:rsidR="00A14C21" w:rsidRPr="00C77D01" w:rsidRDefault="001D4B31" w:rsidP="00A14C21">
      <w:pPr>
        <w:pStyle w:val="ListParagraph"/>
        <w:numPr>
          <w:ilvl w:val="0"/>
          <w:numId w:val="45"/>
        </w:numPr>
        <w:spacing w:before="100" w:beforeAutospacing="1" w:after="100" w:afterAutospacing="1" w:line="360" w:lineRule="atLeast"/>
        <w:ind w:right="720"/>
        <w:rPr>
          <w:rFonts w:cstheme="minorHAnsi"/>
          <w:sz w:val="24"/>
          <w:szCs w:val="24"/>
          <w:lang w:val="en"/>
        </w:rPr>
      </w:pPr>
      <w:r w:rsidRPr="00C77D01">
        <w:rPr>
          <w:rFonts w:cstheme="minorHAnsi"/>
          <w:sz w:val="24"/>
          <w:szCs w:val="24"/>
          <w:lang w:val="en"/>
        </w:rPr>
        <w:t xml:space="preserve">Recipients must be affiliated with a </w:t>
      </w:r>
      <w:hyperlink r:id="rId8" w:history="1">
        <w:r w:rsidRPr="00C77D01">
          <w:rPr>
            <w:rStyle w:val="Hyperlink"/>
            <w:rFonts w:cstheme="minorHAnsi"/>
            <w:sz w:val="24"/>
            <w:szCs w:val="24"/>
            <w:lang w:val="en"/>
          </w:rPr>
          <w:t>SSHRC el</w:t>
        </w:r>
        <w:r w:rsidRPr="00C77D01">
          <w:rPr>
            <w:rStyle w:val="Hyperlink"/>
            <w:rFonts w:cstheme="minorHAnsi"/>
            <w:sz w:val="24"/>
            <w:szCs w:val="24"/>
            <w:lang w:val="en"/>
          </w:rPr>
          <w:t>i</w:t>
        </w:r>
        <w:r w:rsidRPr="00C77D01">
          <w:rPr>
            <w:rStyle w:val="Hyperlink"/>
            <w:rFonts w:cstheme="minorHAnsi"/>
            <w:sz w:val="24"/>
            <w:szCs w:val="24"/>
            <w:lang w:val="en"/>
          </w:rPr>
          <w:t>gible Canadian postsecondary institution</w:t>
        </w:r>
      </w:hyperlink>
      <w:r w:rsidRPr="00C77D01">
        <w:rPr>
          <w:rFonts w:cstheme="minorHAnsi"/>
          <w:sz w:val="24"/>
          <w:szCs w:val="24"/>
          <w:lang w:val="en"/>
        </w:rPr>
        <w:t>, and must maintain such an affiliation for the duration of the grant period. Researchers who maintain an affiliation with a Canadian postsecondary institution, but whose primary affiliation is with a non-Canadian institution, are not eligible to hold these grants.</w:t>
      </w:r>
    </w:p>
    <w:p w:rsidR="00A14C21" w:rsidRPr="00C77D01" w:rsidRDefault="00C2220A" w:rsidP="00A14C21">
      <w:pPr>
        <w:pStyle w:val="ListParagraph"/>
        <w:numPr>
          <w:ilvl w:val="0"/>
          <w:numId w:val="45"/>
        </w:numPr>
        <w:spacing w:before="100" w:beforeAutospacing="1" w:after="100" w:afterAutospacing="1" w:line="360" w:lineRule="atLeast"/>
        <w:ind w:right="720"/>
        <w:rPr>
          <w:rFonts w:cstheme="minorHAnsi"/>
          <w:sz w:val="24"/>
          <w:szCs w:val="24"/>
          <w:lang w:val="en"/>
        </w:rPr>
      </w:pPr>
      <w:r w:rsidRPr="00C77D01">
        <w:rPr>
          <w:rFonts w:cstheme="minorHAnsi"/>
          <w:sz w:val="24"/>
          <w:szCs w:val="24"/>
          <w:lang w:val="en"/>
        </w:rPr>
        <w:t>Applicants</w:t>
      </w:r>
      <w:r w:rsidR="00540958" w:rsidRPr="00C77D01">
        <w:rPr>
          <w:rFonts w:cstheme="minorHAnsi"/>
          <w:sz w:val="24"/>
          <w:szCs w:val="24"/>
          <w:lang w:val="en"/>
        </w:rPr>
        <w:t xml:space="preserve"> may only submit one </w:t>
      </w:r>
      <w:r w:rsidRPr="00C77D01">
        <w:rPr>
          <w:rFonts w:cstheme="minorHAnsi"/>
          <w:sz w:val="24"/>
          <w:szCs w:val="24"/>
          <w:lang w:val="en"/>
        </w:rPr>
        <w:t>application for SIG funding</w:t>
      </w:r>
      <w:r w:rsidR="005D6ED5">
        <w:rPr>
          <w:rFonts w:cstheme="minorHAnsi"/>
          <w:sz w:val="24"/>
          <w:szCs w:val="24"/>
          <w:lang w:val="en"/>
        </w:rPr>
        <w:t xml:space="preserve">. </w:t>
      </w:r>
    </w:p>
    <w:p w:rsidR="00A14C21" w:rsidRPr="00C77D01" w:rsidRDefault="00280770" w:rsidP="00A14C21">
      <w:pPr>
        <w:pStyle w:val="ListParagraph"/>
        <w:numPr>
          <w:ilvl w:val="0"/>
          <w:numId w:val="45"/>
        </w:numPr>
        <w:spacing w:before="100" w:beforeAutospacing="1" w:after="100" w:afterAutospacing="1" w:line="360" w:lineRule="atLeast"/>
        <w:ind w:right="720"/>
        <w:rPr>
          <w:rFonts w:cstheme="minorHAnsi"/>
          <w:sz w:val="24"/>
          <w:szCs w:val="24"/>
          <w:lang w:val="en"/>
        </w:rPr>
      </w:pPr>
      <w:r w:rsidRPr="00C77D01">
        <w:rPr>
          <w:rFonts w:cstheme="minorHAnsi"/>
          <w:sz w:val="24"/>
          <w:szCs w:val="24"/>
          <w:lang w:val="en"/>
        </w:rPr>
        <w:t>Adjunct professors are eligible to apply if the duration of their app</w:t>
      </w:r>
      <w:r w:rsidR="008B28EF" w:rsidRPr="00C77D01">
        <w:rPr>
          <w:rFonts w:cstheme="minorHAnsi"/>
          <w:sz w:val="24"/>
          <w:szCs w:val="24"/>
          <w:lang w:val="en"/>
        </w:rPr>
        <w:t>ointment spans the grant</w:t>
      </w:r>
      <w:r w:rsidRPr="00C77D01">
        <w:rPr>
          <w:rFonts w:cstheme="minorHAnsi"/>
          <w:sz w:val="24"/>
          <w:szCs w:val="24"/>
          <w:lang w:val="en"/>
        </w:rPr>
        <w:t xml:space="preserve"> period.</w:t>
      </w:r>
    </w:p>
    <w:p w:rsidR="00A14C21" w:rsidRPr="00C77D01" w:rsidRDefault="001D4B31" w:rsidP="00A14C21">
      <w:pPr>
        <w:pStyle w:val="ListParagraph"/>
        <w:numPr>
          <w:ilvl w:val="0"/>
          <w:numId w:val="45"/>
        </w:numPr>
        <w:spacing w:before="100" w:beforeAutospacing="1" w:after="100" w:afterAutospacing="1" w:line="360" w:lineRule="atLeast"/>
        <w:ind w:right="720"/>
        <w:rPr>
          <w:rFonts w:cstheme="minorHAnsi"/>
          <w:sz w:val="24"/>
          <w:szCs w:val="24"/>
          <w:lang w:val="en"/>
        </w:rPr>
      </w:pPr>
      <w:r w:rsidRPr="00C77D01">
        <w:rPr>
          <w:rFonts w:cstheme="minorHAnsi"/>
          <w:sz w:val="24"/>
          <w:szCs w:val="24"/>
          <w:lang w:val="en"/>
        </w:rPr>
        <w:t>Postdoctoral researchers</w:t>
      </w:r>
      <w:r w:rsidR="00A7242D" w:rsidRPr="00C77D01">
        <w:rPr>
          <w:rFonts w:cstheme="minorHAnsi"/>
          <w:sz w:val="24"/>
          <w:szCs w:val="24"/>
          <w:lang w:val="en"/>
        </w:rPr>
        <w:t xml:space="preserve"> are not eligible to hold SIG-funded grants;</w:t>
      </w:r>
      <w:r w:rsidRPr="00C77D01">
        <w:rPr>
          <w:rFonts w:cstheme="minorHAnsi"/>
          <w:sz w:val="24"/>
          <w:szCs w:val="24"/>
          <w:lang w:val="en"/>
        </w:rPr>
        <w:t xml:space="preserve"> </w:t>
      </w:r>
      <w:r w:rsidR="00A7242D" w:rsidRPr="00C77D01">
        <w:rPr>
          <w:rFonts w:cstheme="minorHAnsi"/>
          <w:sz w:val="24"/>
          <w:szCs w:val="24"/>
          <w:lang w:val="en"/>
        </w:rPr>
        <w:t>however postdoctoral researchers affiliated with Queen’s University</w:t>
      </w:r>
      <w:r w:rsidRPr="00C77D01">
        <w:rPr>
          <w:rFonts w:cstheme="minorHAnsi"/>
          <w:sz w:val="24"/>
          <w:szCs w:val="24"/>
          <w:lang w:val="en"/>
        </w:rPr>
        <w:t xml:space="preserve"> are eligible to receive support for eligible activities</w:t>
      </w:r>
      <w:r w:rsidR="00815E92" w:rsidRPr="00C77D01">
        <w:rPr>
          <w:rFonts w:cstheme="minorHAnsi"/>
          <w:sz w:val="24"/>
          <w:szCs w:val="24"/>
          <w:lang w:val="en"/>
        </w:rPr>
        <w:t xml:space="preserve"> from a SIG grant awarded to a principal investigator, provided postdoctoral researchers</w:t>
      </w:r>
      <w:r w:rsidRPr="00C77D01">
        <w:rPr>
          <w:rFonts w:cstheme="minorHAnsi"/>
          <w:sz w:val="24"/>
          <w:szCs w:val="24"/>
          <w:lang w:val="en"/>
        </w:rPr>
        <w:t xml:space="preserve"> maintain their affiliation for the duration of the grant period. </w:t>
      </w:r>
    </w:p>
    <w:p w:rsidR="00A14C21" w:rsidRPr="00C77D01" w:rsidRDefault="001D4B31" w:rsidP="00A14C21">
      <w:pPr>
        <w:pStyle w:val="ListParagraph"/>
        <w:numPr>
          <w:ilvl w:val="0"/>
          <w:numId w:val="45"/>
        </w:numPr>
        <w:spacing w:before="100" w:beforeAutospacing="1" w:after="100" w:afterAutospacing="1" w:line="360" w:lineRule="atLeast"/>
        <w:ind w:right="720"/>
        <w:rPr>
          <w:rFonts w:cstheme="minorHAnsi"/>
          <w:sz w:val="24"/>
          <w:szCs w:val="24"/>
          <w:lang w:val="en"/>
        </w:rPr>
      </w:pPr>
      <w:r w:rsidRPr="00C77D01">
        <w:rPr>
          <w:rFonts w:cstheme="minorHAnsi"/>
          <w:sz w:val="24"/>
          <w:szCs w:val="24"/>
          <w:lang w:val="en"/>
        </w:rPr>
        <w:t xml:space="preserve">Students are not eligible to hold SIG-funded grants; however, SSHRC encourages researchers to employ students in SIG-funded research. </w:t>
      </w:r>
    </w:p>
    <w:p w:rsidR="00A14C21" w:rsidRPr="00C77D01" w:rsidRDefault="001D4B31" w:rsidP="00A14C21">
      <w:pPr>
        <w:pStyle w:val="ListParagraph"/>
        <w:numPr>
          <w:ilvl w:val="0"/>
          <w:numId w:val="45"/>
        </w:numPr>
        <w:spacing w:before="100" w:beforeAutospacing="1" w:after="100" w:afterAutospacing="1" w:line="360" w:lineRule="atLeast"/>
        <w:ind w:right="720"/>
        <w:rPr>
          <w:rFonts w:cstheme="minorHAnsi"/>
          <w:sz w:val="24"/>
          <w:szCs w:val="24"/>
          <w:lang w:val="en"/>
        </w:rPr>
      </w:pPr>
      <w:r w:rsidRPr="00C77D01">
        <w:rPr>
          <w:rFonts w:cstheme="minorHAnsi"/>
          <w:sz w:val="24"/>
          <w:szCs w:val="24"/>
          <w:lang w:val="en"/>
        </w:rPr>
        <w:t>The institution acknowledges SSHRC support for its research or research-related activities and clearly brands funds used for research purposes as “SSHRC Explore Grants” and funds used for dissemination purposes as “SSHRC Exchange Grants.”</w:t>
      </w:r>
    </w:p>
    <w:p w:rsidR="00A14C21" w:rsidRPr="00822A08" w:rsidRDefault="00B14E7B" w:rsidP="00A14C21">
      <w:pPr>
        <w:pStyle w:val="ListParagraph"/>
        <w:numPr>
          <w:ilvl w:val="0"/>
          <w:numId w:val="45"/>
        </w:numPr>
        <w:spacing w:before="100" w:beforeAutospacing="1" w:after="100" w:afterAutospacing="1" w:line="360" w:lineRule="atLeast"/>
        <w:ind w:right="720"/>
        <w:rPr>
          <w:rFonts w:cstheme="minorHAnsi"/>
          <w:sz w:val="24"/>
          <w:szCs w:val="24"/>
          <w:lang w:val="en"/>
        </w:rPr>
      </w:pPr>
      <w:r w:rsidRPr="00C77D01">
        <w:rPr>
          <w:rFonts w:cstheme="minorHAnsi"/>
          <w:sz w:val="24"/>
          <w:szCs w:val="24"/>
          <w:lang w:val="en-US"/>
        </w:rPr>
        <w:t>The work conducted with this funding must be in an area of study related to the social sciences and humanities and be consistent with</w:t>
      </w:r>
      <w:r w:rsidRPr="00C77D01">
        <w:rPr>
          <w:rFonts w:cstheme="minorHAnsi"/>
          <w:sz w:val="24"/>
          <w:szCs w:val="24"/>
          <w:lang w:val="en"/>
        </w:rPr>
        <w:t xml:space="preserve"> </w:t>
      </w:r>
      <w:hyperlink r:id="rId9" w:anchor="af2" w:history="1">
        <w:r w:rsidRPr="00C77D01">
          <w:rPr>
            <w:rStyle w:val="Hyperlink"/>
            <w:rFonts w:cstheme="minorHAnsi"/>
            <w:sz w:val="24"/>
            <w:szCs w:val="24"/>
          </w:rPr>
          <w:t xml:space="preserve">SSHRC’s </w:t>
        </w:r>
        <w:r w:rsidRPr="00C77D01">
          <w:rPr>
            <w:rStyle w:val="Hyperlink"/>
            <w:rFonts w:cstheme="minorHAnsi"/>
            <w:sz w:val="24"/>
            <w:szCs w:val="24"/>
          </w:rPr>
          <w:t>m</w:t>
        </w:r>
        <w:r w:rsidRPr="00C77D01">
          <w:rPr>
            <w:rStyle w:val="Hyperlink"/>
            <w:rFonts w:cstheme="minorHAnsi"/>
            <w:sz w:val="24"/>
            <w:szCs w:val="24"/>
          </w:rPr>
          <w:t>andate</w:t>
        </w:r>
      </w:hyperlink>
      <w:r w:rsidRPr="00C77D01">
        <w:rPr>
          <w:rFonts w:cstheme="minorHAnsi"/>
          <w:sz w:val="24"/>
          <w:szCs w:val="24"/>
          <w:lang w:val="en"/>
        </w:rPr>
        <w:t xml:space="preserve"> (Please see </w:t>
      </w:r>
      <w:hyperlink r:id="rId10" w:anchor="af2" w:history="1">
        <w:r w:rsidRPr="00C77D01">
          <w:rPr>
            <w:rStyle w:val="Hyperlink"/>
            <w:rFonts w:cstheme="minorHAnsi"/>
            <w:sz w:val="24"/>
            <w:szCs w:val="24"/>
            <w:lang w:val="en"/>
          </w:rPr>
          <w:t>S</w:t>
        </w:r>
        <w:r w:rsidRPr="00C77D01">
          <w:rPr>
            <w:rStyle w:val="Hyperlink"/>
            <w:rFonts w:cstheme="minorHAnsi"/>
            <w:sz w:val="24"/>
            <w:szCs w:val="24"/>
            <w:lang w:val="en"/>
          </w:rPr>
          <w:t>u</w:t>
        </w:r>
        <w:r w:rsidRPr="00C77D01">
          <w:rPr>
            <w:rStyle w:val="Hyperlink"/>
            <w:rFonts w:cstheme="minorHAnsi"/>
            <w:sz w:val="24"/>
            <w:szCs w:val="24"/>
            <w:lang w:val="en"/>
          </w:rPr>
          <w:t>bject Matter Eligibility</w:t>
        </w:r>
      </w:hyperlink>
      <w:r w:rsidR="00C2352C" w:rsidRPr="00C77D01">
        <w:rPr>
          <w:rFonts w:cstheme="minorHAnsi"/>
          <w:sz w:val="24"/>
          <w:szCs w:val="24"/>
          <w:lang w:val="en"/>
        </w:rPr>
        <w:t xml:space="preserve"> for more information</w:t>
      </w:r>
      <w:r w:rsidRPr="00C77D01">
        <w:rPr>
          <w:rFonts w:cstheme="minorHAnsi"/>
          <w:sz w:val="24"/>
          <w:szCs w:val="24"/>
          <w:lang w:val="en"/>
        </w:rPr>
        <w:t>)</w:t>
      </w:r>
      <w:r w:rsidR="00C2352C" w:rsidRPr="00C77D01">
        <w:rPr>
          <w:rFonts w:cstheme="minorHAnsi"/>
          <w:sz w:val="24"/>
          <w:szCs w:val="24"/>
          <w:lang w:val="en"/>
        </w:rPr>
        <w:t>.</w:t>
      </w:r>
      <w:r w:rsidR="0026319A" w:rsidRPr="00C77D01">
        <w:rPr>
          <w:rFonts w:cstheme="minorHAnsi"/>
          <w:sz w:val="24"/>
          <w:szCs w:val="24"/>
          <w:lang w:val="en"/>
        </w:rPr>
        <w:t xml:space="preserve"> </w:t>
      </w:r>
      <w:r w:rsidR="00D3501A" w:rsidRPr="00822A08">
        <w:rPr>
          <w:rFonts w:cstheme="minorHAnsi"/>
          <w:sz w:val="24"/>
          <w:szCs w:val="24"/>
          <w:lang w:val="en"/>
        </w:rPr>
        <w:t>Please confirm eligibility with SSHRC (</w:t>
      </w:r>
      <w:hyperlink r:id="rId11" w:history="1">
        <w:r w:rsidR="00D3501A" w:rsidRPr="00822A08">
          <w:rPr>
            <w:rStyle w:val="Hyperlink"/>
            <w:sz w:val="24"/>
            <w:szCs w:val="24"/>
            <w:lang w:val="en"/>
          </w:rPr>
          <w:t>SIG@sshrc-crsh.gc.ca</w:t>
        </w:r>
      </w:hyperlink>
      <w:r w:rsidR="00D3501A" w:rsidRPr="00822A08">
        <w:rPr>
          <w:sz w:val="24"/>
          <w:szCs w:val="24"/>
          <w:lang w:val="en"/>
        </w:rPr>
        <w:t>)</w:t>
      </w:r>
      <w:r w:rsidR="00D3501A" w:rsidRPr="00822A08">
        <w:rPr>
          <w:rFonts w:cstheme="minorHAnsi"/>
          <w:sz w:val="24"/>
          <w:szCs w:val="24"/>
          <w:lang w:val="en"/>
        </w:rPr>
        <w:t xml:space="preserve"> in advance of submitting an application if unsure about subject matter eligibility and append confirmation of eligibility to your application. </w:t>
      </w:r>
    </w:p>
    <w:p w:rsidR="00F34250" w:rsidRPr="00C77D01" w:rsidRDefault="00F34250" w:rsidP="00A14C21">
      <w:pPr>
        <w:pStyle w:val="ListParagraph"/>
        <w:numPr>
          <w:ilvl w:val="0"/>
          <w:numId w:val="45"/>
        </w:numPr>
        <w:spacing w:before="100" w:beforeAutospacing="1" w:after="100" w:afterAutospacing="1" w:line="360" w:lineRule="atLeast"/>
        <w:ind w:right="720"/>
        <w:rPr>
          <w:rFonts w:cstheme="minorHAnsi"/>
          <w:sz w:val="24"/>
          <w:szCs w:val="24"/>
          <w:lang w:val="en"/>
        </w:rPr>
      </w:pPr>
      <w:r w:rsidRPr="00C77D01">
        <w:rPr>
          <w:rFonts w:cstheme="minorHAnsi"/>
          <w:sz w:val="24"/>
          <w:szCs w:val="24"/>
        </w:rPr>
        <w:t xml:space="preserve">Please refer to the </w:t>
      </w:r>
      <w:hyperlink r:id="rId12" w:history="1">
        <w:r w:rsidR="009C70FB">
          <w:rPr>
            <w:rStyle w:val="Hyperlink"/>
            <w:bCs/>
            <w:kern w:val="36"/>
            <w:sz w:val="24"/>
            <w:szCs w:val="24"/>
            <w:lang w:val="en"/>
          </w:rPr>
          <w:t>Tri-Agency Financial Admi</w:t>
        </w:r>
        <w:r w:rsidR="009C70FB">
          <w:rPr>
            <w:rStyle w:val="Hyperlink"/>
            <w:bCs/>
            <w:kern w:val="36"/>
            <w:sz w:val="24"/>
            <w:szCs w:val="24"/>
            <w:lang w:val="en"/>
          </w:rPr>
          <w:t>n</w:t>
        </w:r>
        <w:r w:rsidR="009C70FB">
          <w:rPr>
            <w:rStyle w:val="Hyperlink"/>
            <w:bCs/>
            <w:kern w:val="36"/>
            <w:sz w:val="24"/>
            <w:szCs w:val="24"/>
            <w:lang w:val="en"/>
          </w:rPr>
          <w:t>istration Guide</w:t>
        </w:r>
      </w:hyperlink>
      <w:r w:rsidRPr="00C77D01">
        <w:rPr>
          <w:bCs/>
          <w:color w:val="000000"/>
          <w:kern w:val="36"/>
          <w:sz w:val="24"/>
          <w:szCs w:val="24"/>
          <w:lang w:val="en"/>
        </w:rPr>
        <w:t xml:space="preserve"> to confirm eligible expenses for your project.</w:t>
      </w:r>
    </w:p>
    <w:p w:rsidR="00DB27F6" w:rsidRPr="00C77D01" w:rsidRDefault="009F7768" w:rsidP="00DB27F6">
      <w:pPr>
        <w:pStyle w:val="ListParagraph"/>
        <w:numPr>
          <w:ilvl w:val="0"/>
          <w:numId w:val="45"/>
        </w:numPr>
        <w:spacing w:before="100" w:beforeAutospacing="1" w:after="100" w:afterAutospacing="1" w:line="360" w:lineRule="atLeast"/>
        <w:ind w:right="720"/>
        <w:rPr>
          <w:rFonts w:cstheme="minorHAnsi"/>
          <w:sz w:val="24"/>
          <w:szCs w:val="24"/>
          <w:lang w:val="en"/>
        </w:rPr>
      </w:pPr>
      <w:r w:rsidRPr="00C77D01">
        <w:rPr>
          <w:rFonts w:cstheme="minorHAnsi"/>
          <w:sz w:val="24"/>
          <w:szCs w:val="24"/>
          <w:lang w:val="en"/>
        </w:rPr>
        <w:t xml:space="preserve">Researchers are not eligible to apply for a SIG </w:t>
      </w:r>
      <w:r w:rsidR="007E756B" w:rsidRPr="00C77D01">
        <w:rPr>
          <w:rFonts w:cstheme="minorHAnsi"/>
          <w:sz w:val="24"/>
          <w:szCs w:val="24"/>
          <w:lang w:val="en"/>
        </w:rPr>
        <w:t xml:space="preserve">Explore or Exchange </w:t>
      </w:r>
      <w:r w:rsidRPr="00C77D01">
        <w:rPr>
          <w:rFonts w:cstheme="minorHAnsi"/>
          <w:sz w:val="24"/>
          <w:szCs w:val="24"/>
          <w:lang w:val="en"/>
        </w:rPr>
        <w:t>grant if they have an active SSHRC grant</w:t>
      </w:r>
      <w:r w:rsidR="00DA61E4" w:rsidRPr="00C77D01">
        <w:rPr>
          <w:rFonts w:cstheme="minorHAnsi"/>
          <w:sz w:val="24"/>
          <w:szCs w:val="24"/>
          <w:lang w:val="en"/>
        </w:rPr>
        <w:t>.</w:t>
      </w:r>
    </w:p>
    <w:p w:rsidR="00DB27F6" w:rsidRDefault="00DB27F6" w:rsidP="00DB27F6">
      <w:pPr>
        <w:pStyle w:val="ListParagraph"/>
        <w:numPr>
          <w:ilvl w:val="0"/>
          <w:numId w:val="45"/>
        </w:numPr>
        <w:spacing w:before="100" w:beforeAutospacing="1" w:after="100" w:afterAutospacing="1" w:line="360" w:lineRule="atLeast"/>
        <w:ind w:right="720"/>
        <w:rPr>
          <w:rFonts w:cstheme="minorHAnsi"/>
          <w:sz w:val="24"/>
          <w:szCs w:val="24"/>
          <w:lang w:val="en"/>
        </w:rPr>
      </w:pPr>
      <w:r w:rsidRPr="00C77D01">
        <w:rPr>
          <w:rFonts w:cstheme="minorHAnsi"/>
          <w:sz w:val="24"/>
          <w:szCs w:val="24"/>
          <w:lang w:val="en"/>
        </w:rPr>
        <w:t>Literature reviews</w:t>
      </w:r>
      <w:r w:rsidR="00C77D01" w:rsidRPr="00C77D01">
        <w:rPr>
          <w:rFonts w:cstheme="minorHAnsi"/>
          <w:sz w:val="24"/>
          <w:szCs w:val="24"/>
          <w:lang w:val="en"/>
        </w:rPr>
        <w:t xml:space="preserve"> are n</w:t>
      </w:r>
      <w:r w:rsidR="005B4C93">
        <w:rPr>
          <w:rFonts w:cstheme="minorHAnsi"/>
          <w:sz w:val="24"/>
          <w:szCs w:val="24"/>
          <w:lang w:val="en"/>
        </w:rPr>
        <w:t>ot</w:t>
      </w:r>
      <w:r w:rsidR="005D6ED5">
        <w:rPr>
          <w:rFonts w:cstheme="minorHAnsi"/>
          <w:sz w:val="24"/>
          <w:szCs w:val="24"/>
          <w:lang w:val="en"/>
        </w:rPr>
        <w:t xml:space="preserve"> normally</w:t>
      </w:r>
      <w:r w:rsidR="005B4C93">
        <w:rPr>
          <w:rFonts w:cstheme="minorHAnsi"/>
          <w:sz w:val="24"/>
          <w:szCs w:val="24"/>
          <w:lang w:val="en"/>
        </w:rPr>
        <w:t xml:space="preserve"> eligible outputs</w:t>
      </w:r>
      <w:r w:rsidR="00C77D01" w:rsidRPr="00C77D01">
        <w:rPr>
          <w:rFonts w:cstheme="minorHAnsi"/>
          <w:sz w:val="24"/>
          <w:szCs w:val="24"/>
          <w:lang w:val="en"/>
        </w:rPr>
        <w:t xml:space="preserve"> for SIG Explore or Exchange grants. </w:t>
      </w:r>
    </w:p>
    <w:p w:rsidR="005B4C93" w:rsidRDefault="005B4C93" w:rsidP="005B4C93">
      <w:pPr>
        <w:spacing w:before="100" w:beforeAutospacing="1" w:after="100" w:afterAutospacing="1" w:line="360" w:lineRule="atLeast"/>
        <w:ind w:right="720"/>
        <w:rPr>
          <w:rFonts w:cstheme="minorHAnsi"/>
          <w:lang w:val="en"/>
        </w:rPr>
      </w:pPr>
    </w:p>
    <w:p w:rsidR="004A0E98" w:rsidRPr="00C77D01" w:rsidRDefault="004A0E98" w:rsidP="00161F29">
      <w:pPr>
        <w:pStyle w:val="NoSpacing"/>
        <w:ind w:left="360" w:right="720"/>
        <w:rPr>
          <w:rFonts w:cstheme="minorHAnsi"/>
          <w:b/>
          <w:sz w:val="24"/>
          <w:szCs w:val="24"/>
          <w:u w:val="single"/>
          <w:lang w:val="en"/>
        </w:rPr>
      </w:pPr>
      <w:r w:rsidRPr="00C77D01">
        <w:rPr>
          <w:rFonts w:cstheme="minorHAnsi"/>
          <w:b/>
          <w:sz w:val="24"/>
          <w:szCs w:val="24"/>
          <w:u w:val="single"/>
          <w:lang w:val="en"/>
        </w:rPr>
        <w:lastRenderedPageBreak/>
        <w:t>How to Apply</w:t>
      </w:r>
    </w:p>
    <w:p w:rsidR="004A0E98" w:rsidRPr="00C77D01" w:rsidRDefault="004A0E98" w:rsidP="0033169E">
      <w:pPr>
        <w:pStyle w:val="NoSpacing"/>
        <w:ind w:right="720"/>
        <w:rPr>
          <w:rFonts w:cstheme="minorHAnsi"/>
          <w:sz w:val="24"/>
          <w:szCs w:val="24"/>
          <w:lang w:val="en"/>
        </w:rPr>
      </w:pPr>
    </w:p>
    <w:p w:rsidR="005E40E4" w:rsidRPr="00C77D01" w:rsidRDefault="00540958" w:rsidP="00B077ED">
      <w:pPr>
        <w:ind w:left="360" w:right="720"/>
        <w:rPr>
          <w:rFonts w:asciiTheme="minorHAnsi" w:hAnsiTheme="minorHAnsi" w:cstheme="minorHAnsi"/>
        </w:rPr>
      </w:pPr>
      <w:r w:rsidRPr="00C77D01">
        <w:rPr>
          <w:rFonts w:asciiTheme="minorHAnsi" w:hAnsiTheme="minorHAnsi" w:cstheme="minorHAnsi"/>
        </w:rPr>
        <w:t>The deadl</w:t>
      </w:r>
      <w:r w:rsidR="00EF08F9" w:rsidRPr="00C77D01">
        <w:rPr>
          <w:rFonts w:asciiTheme="minorHAnsi" w:hAnsiTheme="minorHAnsi" w:cstheme="minorHAnsi"/>
        </w:rPr>
        <w:t>ine to sub</w:t>
      </w:r>
      <w:r w:rsidR="002343BD" w:rsidRPr="00C77D01">
        <w:rPr>
          <w:rFonts w:asciiTheme="minorHAnsi" w:hAnsiTheme="minorHAnsi" w:cstheme="minorHAnsi"/>
        </w:rPr>
        <w:t xml:space="preserve">mit an application </w:t>
      </w:r>
      <w:r w:rsidR="00E74CBB">
        <w:rPr>
          <w:rFonts w:asciiTheme="minorHAnsi" w:hAnsiTheme="minorHAnsi" w:cstheme="minorHAnsi"/>
        </w:rPr>
        <w:t>is June 25</w:t>
      </w:r>
      <w:r w:rsidR="001B48F5">
        <w:rPr>
          <w:rFonts w:asciiTheme="minorHAnsi" w:hAnsiTheme="minorHAnsi" w:cstheme="minorHAnsi"/>
        </w:rPr>
        <w:t>, 2021</w:t>
      </w:r>
      <w:r w:rsidR="00E74CBB">
        <w:rPr>
          <w:rFonts w:asciiTheme="minorHAnsi" w:hAnsiTheme="minorHAnsi" w:cstheme="minorHAnsi"/>
        </w:rPr>
        <w:t>.</w:t>
      </w:r>
    </w:p>
    <w:p w:rsidR="005E40E4" w:rsidRPr="009A2A31" w:rsidRDefault="005E40E4" w:rsidP="005E40E4">
      <w:pPr>
        <w:ind w:left="360" w:right="720"/>
        <w:jc w:val="both"/>
        <w:rPr>
          <w:rFonts w:asciiTheme="minorHAnsi" w:hAnsiTheme="minorHAnsi" w:cstheme="minorHAnsi"/>
        </w:rPr>
      </w:pPr>
    </w:p>
    <w:p w:rsidR="007D1A47" w:rsidRPr="00C77D01" w:rsidRDefault="00540958" w:rsidP="00540958">
      <w:pPr>
        <w:ind w:left="360"/>
        <w:rPr>
          <w:rFonts w:asciiTheme="minorHAnsi" w:hAnsiTheme="minorHAnsi" w:cstheme="minorHAnsi"/>
        </w:rPr>
      </w:pPr>
      <w:r w:rsidRPr="00C77D01">
        <w:rPr>
          <w:rFonts w:asciiTheme="minorHAnsi" w:hAnsiTheme="minorHAnsi" w:cstheme="minorHAnsi"/>
        </w:rPr>
        <w:t>F</w:t>
      </w:r>
      <w:r w:rsidR="007D1A47" w:rsidRPr="00C77D01">
        <w:rPr>
          <w:rFonts w:asciiTheme="minorHAnsi" w:hAnsiTheme="minorHAnsi" w:cstheme="minorHAnsi"/>
        </w:rPr>
        <w:t>ull applications will be assessed against the following criteria</w:t>
      </w:r>
      <w:r w:rsidRPr="00C77D01">
        <w:rPr>
          <w:rFonts w:asciiTheme="minorHAnsi" w:hAnsiTheme="minorHAnsi" w:cstheme="minorHAnsi"/>
        </w:rPr>
        <w:t xml:space="preserve"> and these must be addressed in your application</w:t>
      </w:r>
      <w:r w:rsidR="007D1A47" w:rsidRPr="00C77D01">
        <w:rPr>
          <w:rFonts w:asciiTheme="minorHAnsi" w:hAnsiTheme="minorHAnsi" w:cstheme="minorHAnsi"/>
        </w:rPr>
        <w:t>:</w:t>
      </w:r>
    </w:p>
    <w:p w:rsidR="0026319A" w:rsidRPr="00C77D01" w:rsidRDefault="007D1A47" w:rsidP="0026319A">
      <w:pPr>
        <w:pStyle w:val="ListParagraph"/>
        <w:numPr>
          <w:ilvl w:val="1"/>
          <w:numId w:val="41"/>
        </w:numPr>
        <w:spacing w:after="0" w:line="240" w:lineRule="auto"/>
        <w:rPr>
          <w:rFonts w:cstheme="minorHAnsi"/>
          <w:sz w:val="24"/>
          <w:szCs w:val="24"/>
        </w:rPr>
      </w:pPr>
      <w:r w:rsidRPr="00C77D01">
        <w:rPr>
          <w:rFonts w:eastAsia="Calibri" w:cstheme="minorHAnsi"/>
          <w:sz w:val="24"/>
          <w:szCs w:val="24"/>
        </w:rPr>
        <w:t>overall contribution of the project/activities to research excellence</w:t>
      </w:r>
    </w:p>
    <w:p w:rsidR="007D1A47" w:rsidRPr="00C77D01" w:rsidRDefault="007D1A47" w:rsidP="0026319A">
      <w:pPr>
        <w:pStyle w:val="ListParagraph"/>
        <w:numPr>
          <w:ilvl w:val="1"/>
          <w:numId w:val="41"/>
        </w:numPr>
        <w:spacing w:after="0" w:line="240" w:lineRule="auto"/>
        <w:rPr>
          <w:rFonts w:cstheme="minorHAnsi"/>
          <w:sz w:val="24"/>
          <w:szCs w:val="24"/>
        </w:rPr>
      </w:pPr>
      <w:r w:rsidRPr="00C77D01">
        <w:rPr>
          <w:rFonts w:eastAsia="Calibri" w:cstheme="minorHAnsi"/>
          <w:sz w:val="24"/>
          <w:szCs w:val="24"/>
        </w:rPr>
        <w:t>impact of the expected outcomes of the project/activities</w:t>
      </w:r>
    </w:p>
    <w:p w:rsidR="002343BD" w:rsidRPr="00C77D01" w:rsidRDefault="00981E89" w:rsidP="00315389">
      <w:pPr>
        <w:pStyle w:val="ListParagraph"/>
        <w:numPr>
          <w:ilvl w:val="1"/>
          <w:numId w:val="41"/>
        </w:numPr>
        <w:spacing w:after="0" w:line="240" w:lineRule="auto"/>
        <w:rPr>
          <w:rFonts w:cstheme="minorHAnsi"/>
          <w:sz w:val="24"/>
          <w:szCs w:val="24"/>
        </w:rPr>
      </w:pPr>
      <w:r w:rsidRPr="00C77D01">
        <w:rPr>
          <w:rFonts w:cstheme="minorHAnsi"/>
          <w:sz w:val="24"/>
          <w:szCs w:val="24"/>
        </w:rPr>
        <w:t xml:space="preserve">the possibility </w:t>
      </w:r>
      <w:r w:rsidR="002343BD" w:rsidRPr="00C77D01">
        <w:rPr>
          <w:rFonts w:cstheme="minorHAnsi"/>
          <w:sz w:val="24"/>
          <w:szCs w:val="24"/>
        </w:rPr>
        <w:t xml:space="preserve">of the SIG grant </w:t>
      </w:r>
      <w:r w:rsidR="003F5FDE" w:rsidRPr="00C77D01">
        <w:rPr>
          <w:rFonts w:cstheme="minorHAnsi"/>
          <w:sz w:val="24"/>
          <w:szCs w:val="24"/>
        </w:rPr>
        <w:t>support</w:t>
      </w:r>
      <w:r w:rsidRPr="00C77D01">
        <w:rPr>
          <w:rFonts w:cstheme="minorHAnsi"/>
          <w:sz w:val="24"/>
          <w:szCs w:val="24"/>
        </w:rPr>
        <w:t>ing</w:t>
      </w:r>
      <w:r w:rsidR="003F5FDE" w:rsidRPr="00C77D01">
        <w:rPr>
          <w:rFonts w:cstheme="minorHAnsi"/>
          <w:sz w:val="24"/>
          <w:szCs w:val="24"/>
        </w:rPr>
        <w:t xml:space="preserve"> an application to one of the SSHRC </w:t>
      </w:r>
      <w:r w:rsidR="002343BD" w:rsidRPr="00C77D01">
        <w:rPr>
          <w:rFonts w:cstheme="minorHAnsi"/>
          <w:sz w:val="24"/>
          <w:szCs w:val="24"/>
        </w:rPr>
        <w:t>funding opportunities li</w:t>
      </w:r>
      <w:r w:rsidRPr="00C77D01">
        <w:rPr>
          <w:rFonts w:cstheme="minorHAnsi"/>
          <w:sz w:val="24"/>
          <w:szCs w:val="24"/>
        </w:rPr>
        <w:t>sted below within 18-24 months</w:t>
      </w:r>
      <w:r w:rsidR="003C68C4" w:rsidRPr="00C77D01">
        <w:rPr>
          <w:rFonts w:cstheme="minorHAnsi"/>
          <w:sz w:val="24"/>
          <w:szCs w:val="24"/>
        </w:rPr>
        <w:t>.</w:t>
      </w:r>
    </w:p>
    <w:p w:rsidR="002343BD" w:rsidRPr="00C77D01" w:rsidRDefault="002343BD" w:rsidP="005E40E4">
      <w:pPr>
        <w:ind w:left="360" w:right="720"/>
        <w:jc w:val="both"/>
        <w:rPr>
          <w:rFonts w:asciiTheme="minorHAnsi" w:hAnsiTheme="minorHAnsi" w:cstheme="minorHAnsi"/>
        </w:rPr>
      </w:pPr>
    </w:p>
    <w:p w:rsidR="00C6713B" w:rsidRPr="00AE57CD" w:rsidRDefault="00E74CBB" w:rsidP="00C6713B">
      <w:pPr>
        <w:spacing w:after="120"/>
        <w:ind w:left="720"/>
        <w:rPr>
          <w:rFonts w:asciiTheme="minorHAnsi" w:hAnsiTheme="minorHAnsi" w:cstheme="minorHAnsi"/>
          <w:color w:val="000000"/>
        </w:rPr>
      </w:pPr>
      <w:hyperlink r:id="rId13" w:history="1">
        <w:r w:rsidR="00C6713B" w:rsidRPr="009C70FB">
          <w:rPr>
            <w:rFonts w:asciiTheme="minorHAnsi" w:hAnsiTheme="minorHAnsi" w:cstheme="minorHAnsi"/>
            <w:color w:val="3366FF"/>
            <w:u w:val="single"/>
          </w:rPr>
          <w:t xml:space="preserve">Insight </w:t>
        </w:r>
        <w:r w:rsidR="00C6713B" w:rsidRPr="009C70FB">
          <w:rPr>
            <w:rFonts w:asciiTheme="minorHAnsi" w:hAnsiTheme="minorHAnsi" w:cstheme="minorHAnsi"/>
            <w:color w:val="3366FF"/>
            <w:u w:val="single"/>
          </w:rPr>
          <w:t>G</w:t>
        </w:r>
        <w:r w:rsidR="00C6713B" w:rsidRPr="009C70FB">
          <w:rPr>
            <w:rFonts w:asciiTheme="minorHAnsi" w:hAnsiTheme="minorHAnsi" w:cstheme="minorHAnsi"/>
            <w:color w:val="3366FF"/>
            <w:u w:val="single"/>
          </w:rPr>
          <w:t>rants</w:t>
        </w:r>
      </w:hyperlink>
      <w:r w:rsidR="00C6713B" w:rsidRPr="00AE57CD">
        <w:rPr>
          <w:rFonts w:asciiTheme="minorHAnsi" w:hAnsiTheme="minorHAnsi" w:cstheme="minorHAnsi"/>
          <w:color w:val="000000"/>
        </w:rPr>
        <w:t xml:space="preserve">: Funding is available </w:t>
      </w:r>
      <w:r w:rsidR="00C6713B" w:rsidRPr="000A2AB7">
        <w:rPr>
          <w:rFonts w:asciiTheme="minorHAnsi" w:hAnsiTheme="minorHAnsi" w:cstheme="minorHAnsi"/>
          <w:color w:val="000000"/>
        </w:rPr>
        <w:t>for research initiatives of two to five years providing</w:t>
      </w:r>
      <w:r w:rsidR="00C6713B" w:rsidRPr="00AE57CD">
        <w:rPr>
          <w:rFonts w:asciiTheme="minorHAnsi" w:hAnsiTheme="minorHAnsi" w:cstheme="minorHAnsi"/>
          <w:color w:val="000000"/>
        </w:rPr>
        <w:t xml:space="preserve"> stable support for long-term research initiatives. Enables scholars to address complex issues pertaining to individuals and societies, and to further our collective understanding.</w:t>
      </w:r>
    </w:p>
    <w:p w:rsidR="00C6713B" w:rsidRPr="00AE57CD" w:rsidRDefault="00E74CBB" w:rsidP="00C6713B">
      <w:pPr>
        <w:spacing w:after="120"/>
        <w:ind w:left="720"/>
        <w:rPr>
          <w:rFonts w:asciiTheme="minorHAnsi" w:hAnsiTheme="minorHAnsi" w:cstheme="minorHAnsi"/>
          <w:color w:val="000000"/>
        </w:rPr>
      </w:pPr>
      <w:hyperlink r:id="rId14" w:history="1">
        <w:r w:rsidR="00C6713B" w:rsidRPr="009C70FB">
          <w:rPr>
            <w:rFonts w:asciiTheme="minorHAnsi" w:hAnsiTheme="minorHAnsi" w:cstheme="minorHAnsi"/>
            <w:color w:val="3366FF"/>
            <w:u w:val="single"/>
          </w:rPr>
          <w:t>Insigh</w:t>
        </w:r>
        <w:r w:rsidR="00C6713B" w:rsidRPr="009C70FB">
          <w:rPr>
            <w:rFonts w:asciiTheme="minorHAnsi" w:hAnsiTheme="minorHAnsi" w:cstheme="minorHAnsi"/>
            <w:color w:val="3366FF"/>
            <w:u w:val="single"/>
          </w:rPr>
          <w:t>t</w:t>
        </w:r>
        <w:r w:rsidR="00C6713B" w:rsidRPr="009C70FB">
          <w:rPr>
            <w:rFonts w:asciiTheme="minorHAnsi" w:hAnsiTheme="minorHAnsi" w:cstheme="minorHAnsi"/>
            <w:color w:val="3366FF"/>
            <w:u w:val="single"/>
          </w:rPr>
          <w:t xml:space="preserve"> Development Grants</w:t>
        </w:r>
      </w:hyperlink>
      <w:r w:rsidR="00C6713B" w:rsidRPr="00AE57CD">
        <w:rPr>
          <w:rFonts w:asciiTheme="minorHAnsi" w:hAnsiTheme="minorHAnsi" w:cstheme="minorHAnsi"/>
          <w:color w:val="000000"/>
        </w:rPr>
        <w:t xml:space="preserve">: Provides support for research </w:t>
      </w:r>
      <w:r w:rsidR="00C6713B" w:rsidRPr="000A2AB7">
        <w:rPr>
          <w:rFonts w:asciiTheme="minorHAnsi" w:hAnsiTheme="minorHAnsi" w:cstheme="minorHAnsi"/>
          <w:color w:val="000000"/>
        </w:rPr>
        <w:t>in its initial stages for</w:t>
      </w:r>
      <w:r w:rsidR="00C6713B" w:rsidRPr="00AE57CD">
        <w:rPr>
          <w:rFonts w:asciiTheme="minorHAnsi" w:hAnsiTheme="minorHAnsi" w:cstheme="minorHAnsi"/>
          <w:color w:val="000000"/>
        </w:rPr>
        <w:t xml:space="preserve"> up to two years. Enables the development of new research questions, as well as experimentation with new methods, theoretical approaches and/or ideas.</w:t>
      </w:r>
    </w:p>
    <w:p w:rsidR="00C6713B" w:rsidRDefault="00E74CBB" w:rsidP="00C6713B">
      <w:pPr>
        <w:spacing w:after="120"/>
        <w:ind w:left="720"/>
        <w:rPr>
          <w:rFonts w:asciiTheme="minorHAnsi" w:hAnsiTheme="minorHAnsi" w:cstheme="minorHAnsi"/>
          <w:color w:val="000000"/>
        </w:rPr>
      </w:pPr>
      <w:hyperlink r:id="rId15" w:history="1">
        <w:r w:rsidR="00C6713B" w:rsidRPr="009C70FB">
          <w:rPr>
            <w:rFonts w:asciiTheme="minorHAnsi" w:hAnsiTheme="minorHAnsi" w:cstheme="minorHAnsi"/>
            <w:color w:val="3366FF"/>
            <w:u w:val="single"/>
          </w:rPr>
          <w:t>Connect</w:t>
        </w:r>
        <w:r w:rsidR="00C6713B" w:rsidRPr="009C70FB">
          <w:rPr>
            <w:rFonts w:asciiTheme="minorHAnsi" w:hAnsiTheme="minorHAnsi" w:cstheme="minorHAnsi"/>
            <w:color w:val="3366FF"/>
            <w:u w:val="single"/>
          </w:rPr>
          <w:t>i</w:t>
        </w:r>
        <w:r w:rsidR="00C6713B" w:rsidRPr="009C70FB">
          <w:rPr>
            <w:rFonts w:asciiTheme="minorHAnsi" w:hAnsiTheme="minorHAnsi" w:cstheme="minorHAnsi"/>
            <w:color w:val="3366FF"/>
            <w:u w:val="single"/>
          </w:rPr>
          <w:t>on Grants</w:t>
        </w:r>
      </w:hyperlink>
      <w:r w:rsidR="00C6713B" w:rsidRPr="00AE57CD">
        <w:rPr>
          <w:rFonts w:asciiTheme="minorHAnsi" w:hAnsiTheme="minorHAnsi" w:cstheme="minorHAnsi"/>
          <w:color w:val="000000"/>
        </w:rPr>
        <w:t xml:space="preserve">: </w:t>
      </w:r>
      <w:r w:rsidR="00C6713B" w:rsidRPr="000A2AB7">
        <w:rPr>
          <w:rFonts w:asciiTheme="minorHAnsi" w:hAnsiTheme="minorHAnsi" w:cstheme="minorHAnsi"/>
          <w:color w:val="000000"/>
        </w:rPr>
        <w:t>Supports events and outreach</w:t>
      </w:r>
      <w:r w:rsidR="00C6713B" w:rsidRPr="00AE57CD">
        <w:rPr>
          <w:rFonts w:asciiTheme="minorHAnsi" w:hAnsiTheme="minorHAnsi" w:cstheme="minorHAnsi"/>
          <w:color w:val="000000"/>
        </w:rPr>
        <w:t xml:space="preserve"> activities geared toward short-term, targeted knowledge mobilization initiatives.</w:t>
      </w:r>
    </w:p>
    <w:p w:rsidR="00C6713B" w:rsidRDefault="00E74CBB" w:rsidP="00C6713B">
      <w:pPr>
        <w:spacing w:after="120"/>
        <w:ind w:left="720"/>
        <w:rPr>
          <w:rFonts w:asciiTheme="minorHAnsi" w:hAnsiTheme="minorHAnsi" w:cstheme="minorHAnsi"/>
          <w:color w:val="000000"/>
        </w:rPr>
      </w:pPr>
      <w:hyperlink r:id="rId16" w:history="1">
        <w:r w:rsidR="00C6713B" w:rsidRPr="009C70FB">
          <w:rPr>
            <w:rFonts w:asciiTheme="minorHAnsi" w:hAnsiTheme="minorHAnsi" w:cstheme="minorHAnsi"/>
            <w:color w:val="3366FF"/>
            <w:u w:val="single"/>
          </w:rPr>
          <w:t>Partnersh</w:t>
        </w:r>
        <w:r w:rsidR="00C6713B" w:rsidRPr="009C70FB">
          <w:rPr>
            <w:rFonts w:asciiTheme="minorHAnsi" w:hAnsiTheme="minorHAnsi" w:cstheme="minorHAnsi"/>
            <w:color w:val="3366FF"/>
            <w:u w:val="single"/>
          </w:rPr>
          <w:t>i</w:t>
        </w:r>
        <w:r w:rsidR="00C6713B" w:rsidRPr="009C70FB">
          <w:rPr>
            <w:rFonts w:asciiTheme="minorHAnsi" w:hAnsiTheme="minorHAnsi" w:cstheme="minorHAnsi"/>
            <w:color w:val="3366FF"/>
            <w:u w:val="single"/>
          </w:rPr>
          <w:t>p Engage Grants</w:t>
        </w:r>
      </w:hyperlink>
      <w:r w:rsidR="00C6713B" w:rsidRPr="00AE57CD">
        <w:rPr>
          <w:rFonts w:asciiTheme="minorHAnsi" w:hAnsiTheme="minorHAnsi" w:cstheme="minorHAnsi"/>
          <w:color w:val="000000"/>
        </w:rPr>
        <w:t xml:space="preserve">:  Provides short-term and timely support </w:t>
      </w:r>
      <w:r w:rsidR="00C6713B" w:rsidRPr="000A2AB7">
        <w:rPr>
          <w:rFonts w:asciiTheme="minorHAnsi" w:hAnsiTheme="minorHAnsi" w:cstheme="minorHAnsi"/>
          <w:color w:val="000000"/>
        </w:rPr>
        <w:t>for partnered research activities</w:t>
      </w:r>
      <w:r w:rsidR="00C6713B" w:rsidRPr="00AE57CD">
        <w:rPr>
          <w:rFonts w:asciiTheme="minorHAnsi" w:hAnsiTheme="minorHAnsi" w:cstheme="minorHAnsi"/>
          <w:color w:val="000000"/>
        </w:rPr>
        <w:t xml:space="preserve"> that will inform decision-making at a single partner organization from the public, private or not-for-profit sector.</w:t>
      </w:r>
    </w:p>
    <w:p w:rsidR="00C6713B" w:rsidRDefault="00E74CBB" w:rsidP="00C6713B">
      <w:pPr>
        <w:spacing w:after="120"/>
        <w:ind w:left="720"/>
        <w:rPr>
          <w:rFonts w:asciiTheme="minorHAnsi" w:hAnsiTheme="minorHAnsi"/>
          <w:lang w:val="en"/>
        </w:rPr>
      </w:pPr>
      <w:hyperlink r:id="rId17" w:anchor="a1" w:history="1">
        <w:r w:rsidR="00C6713B" w:rsidRPr="009C70FB">
          <w:rPr>
            <w:rStyle w:val="Hyperlink"/>
            <w:rFonts w:asciiTheme="minorHAnsi" w:hAnsiTheme="minorHAnsi"/>
            <w:color w:val="3366FF"/>
            <w:lang w:val="en"/>
          </w:rPr>
          <w:t>Partnershi</w:t>
        </w:r>
        <w:r w:rsidR="00C6713B" w:rsidRPr="009C70FB">
          <w:rPr>
            <w:rStyle w:val="Hyperlink"/>
            <w:rFonts w:asciiTheme="minorHAnsi" w:hAnsiTheme="minorHAnsi"/>
            <w:color w:val="3366FF"/>
            <w:lang w:val="en"/>
          </w:rPr>
          <w:t>p</w:t>
        </w:r>
        <w:r w:rsidR="00C6713B" w:rsidRPr="009C70FB">
          <w:rPr>
            <w:rStyle w:val="Hyperlink"/>
            <w:rFonts w:asciiTheme="minorHAnsi" w:hAnsiTheme="minorHAnsi"/>
            <w:color w:val="3366FF"/>
            <w:lang w:val="en"/>
          </w:rPr>
          <w:t xml:space="preserve"> Development Grants</w:t>
        </w:r>
      </w:hyperlink>
      <w:r w:rsidR="00C6713B" w:rsidRPr="000A2AB7">
        <w:rPr>
          <w:rFonts w:asciiTheme="minorHAnsi" w:hAnsiTheme="minorHAnsi"/>
          <w:lang w:val="en"/>
        </w:rPr>
        <w:t xml:space="preserve">: Provides support over one to </w:t>
      </w:r>
      <w:bookmarkStart w:id="0" w:name="_GoBack"/>
      <w:bookmarkEnd w:id="0"/>
      <w:r w:rsidR="00C6713B" w:rsidRPr="000A2AB7">
        <w:rPr>
          <w:rFonts w:asciiTheme="minorHAnsi" w:hAnsiTheme="minorHAnsi"/>
          <w:lang w:val="en"/>
        </w:rPr>
        <w:t>three years to teams/partnerships,</w:t>
      </w:r>
      <w:r w:rsidR="00C6713B">
        <w:rPr>
          <w:rFonts w:asciiTheme="minorHAnsi" w:hAnsiTheme="minorHAnsi"/>
          <w:lang w:val="en"/>
        </w:rPr>
        <w:t xml:space="preserve"> led by a project director, to:</w:t>
      </w:r>
    </w:p>
    <w:p w:rsidR="00C6713B" w:rsidRPr="00E74CBB" w:rsidRDefault="00C6713B" w:rsidP="00C6713B">
      <w:pPr>
        <w:pStyle w:val="ListParagraph"/>
        <w:widowControl w:val="0"/>
        <w:numPr>
          <w:ilvl w:val="0"/>
          <w:numId w:val="48"/>
        </w:numPr>
        <w:spacing w:after="120" w:line="240" w:lineRule="auto"/>
        <w:rPr>
          <w:sz w:val="24"/>
          <w:szCs w:val="24"/>
          <w:lang w:val="en"/>
        </w:rPr>
      </w:pPr>
      <w:r w:rsidRPr="00E74CBB">
        <w:rPr>
          <w:sz w:val="24"/>
          <w:szCs w:val="24"/>
          <w:lang w:val="en"/>
        </w:rPr>
        <w:t xml:space="preserve">develop research and/or related activities in the social sciences and humanities, including knowledge mobilization and the meaningful involvement of students and emerging scholars, by fostering new partnerships with existing and/or potential partners; or </w:t>
      </w:r>
    </w:p>
    <w:p w:rsidR="00C6713B" w:rsidRPr="00E74CBB" w:rsidRDefault="00C6713B" w:rsidP="00C6713B">
      <w:pPr>
        <w:pStyle w:val="ListParagraph"/>
        <w:widowControl w:val="0"/>
        <w:numPr>
          <w:ilvl w:val="0"/>
          <w:numId w:val="48"/>
        </w:numPr>
        <w:spacing w:after="120" w:line="240" w:lineRule="auto"/>
        <w:rPr>
          <w:sz w:val="24"/>
          <w:szCs w:val="24"/>
          <w:lang w:val="en"/>
        </w:rPr>
      </w:pPr>
      <w:r w:rsidRPr="00E74CBB">
        <w:rPr>
          <w:sz w:val="24"/>
          <w:szCs w:val="24"/>
          <w:lang w:val="en"/>
        </w:rPr>
        <w:t xml:space="preserve">design and test new partnership approaches for research and/or related activities that may result in best practices or models that either can be adapted by others or have the potential to be scaled up to a regional, national or international level. </w:t>
      </w:r>
    </w:p>
    <w:p w:rsidR="0043516C" w:rsidRPr="00C77D01" w:rsidRDefault="0043516C" w:rsidP="002343BD">
      <w:pPr>
        <w:ind w:right="720"/>
        <w:rPr>
          <w:rFonts w:asciiTheme="minorHAnsi" w:hAnsiTheme="minorHAnsi" w:cstheme="minorHAnsi"/>
        </w:rPr>
      </w:pPr>
    </w:p>
    <w:p w:rsidR="001D4B31" w:rsidRPr="00C77D01" w:rsidRDefault="005E40E4" w:rsidP="00B077ED">
      <w:pPr>
        <w:ind w:left="360" w:right="720"/>
        <w:rPr>
          <w:rFonts w:asciiTheme="minorHAnsi" w:hAnsiTheme="minorHAnsi" w:cstheme="minorHAnsi"/>
        </w:rPr>
      </w:pPr>
      <w:r w:rsidRPr="00C77D01">
        <w:rPr>
          <w:rFonts w:asciiTheme="minorHAnsi" w:hAnsiTheme="minorHAnsi" w:cstheme="minorHAnsi"/>
        </w:rPr>
        <w:t xml:space="preserve">For </w:t>
      </w:r>
      <w:r w:rsidR="00B26318" w:rsidRPr="00C77D01">
        <w:rPr>
          <w:rFonts w:asciiTheme="minorHAnsi" w:hAnsiTheme="minorHAnsi" w:cstheme="minorHAnsi"/>
        </w:rPr>
        <w:t>more information</w:t>
      </w:r>
      <w:r w:rsidRPr="00C77D01">
        <w:rPr>
          <w:rFonts w:asciiTheme="minorHAnsi" w:hAnsiTheme="minorHAnsi" w:cstheme="minorHAnsi"/>
        </w:rPr>
        <w:t xml:space="preserve"> please email </w:t>
      </w:r>
      <w:r w:rsidR="00347815" w:rsidRPr="00C77D01">
        <w:rPr>
          <w:rFonts w:asciiTheme="minorHAnsi" w:hAnsiTheme="minorHAnsi" w:cstheme="minorHAnsi"/>
        </w:rPr>
        <w:t xml:space="preserve">Marianne Ferris at </w:t>
      </w:r>
      <w:hyperlink r:id="rId18" w:history="1">
        <w:r w:rsidR="00347815" w:rsidRPr="00C77D01">
          <w:rPr>
            <w:rStyle w:val="Hyperlink"/>
            <w:rFonts w:asciiTheme="minorHAnsi" w:hAnsiTheme="minorHAnsi" w:cstheme="minorHAnsi"/>
          </w:rPr>
          <w:t>ferrism@queensu.ca</w:t>
        </w:r>
      </w:hyperlink>
      <w:r w:rsidR="00347815" w:rsidRPr="00C77D01">
        <w:rPr>
          <w:rFonts w:asciiTheme="minorHAnsi" w:hAnsiTheme="minorHAnsi" w:cstheme="minorHAnsi"/>
        </w:rPr>
        <w:t xml:space="preserve">. </w:t>
      </w:r>
      <w:r w:rsidRPr="00C77D01">
        <w:rPr>
          <w:rFonts w:asciiTheme="minorHAnsi" w:hAnsiTheme="minorHAnsi" w:cstheme="minorHAnsi"/>
        </w:rPr>
        <w:t xml:space="preserve"> </w:t>
      </w:r>
    </w:p>
    <w:sectPr w:rsidR="001D4B31" w:rsidRPr="00C77D01" w:rsidSect="00097794">
      <w:headerReference w:type="default" r:id="rId19"/>
      <w:footerReference w:type="default" r:id="rId20"/>
      <w:pgSz w:w="12240" w:h="15840"/>
      <w:pgMar w:top="1440" w:right="720" w:bottom="144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AB3" w:rsidRDefault="00897AB3" w:rsidP="0016463D">
      <w:r>
        <w:separator/>
      </w:r>
    </w:p>
  </w:endnote>
  <w:endnote w:type="continuationSeparator" w:id="0">
    <w:p w:rsidR="00897AB3" w:rsidRDefault="00897AB3" w:rsidP="0016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114063"/>
      <w:docPartObj>
        <w:docPartGallery w:val="Page Numbers (Bottom of Page)"/>
        <w:docPartUnique/>
      </w:docPartObj>
    </w:sdtPr>
    <w:sdtEndPr>
      <w:rPr>
        <w:noProof/>
      </w:rPr>
    </w:sdtEndPr>
    <w:sdtContent>
      <w:p w:rsidR="00097794" w:rsidRDefault="00097794">
        <w:pPr>
          <w:pStyle w:val="Footer"/>
          <w:jc w:val="right"/>
        </w:pPr>
        <w:r>
          <w:fldChar w:fldCharType="begin"/>
        </w:r>
        <w:r>
          <w:instrText xml:space="preserve"> PAGE   \* MERGEFORMAT </w:instrText>
        </w:r>
        <w:r>
          <w:fldChar w:fldCharType="separate"/>
        </w:r>
        <w:r w:rsidR="00E74CBB">
          <w:rPr>
            <w:noProof/>
          </w:rPr>
          <w:t>2</w:t>
        </w:r>
        <w:r>
          <w:rPr>
            <w:noProof/>
          </w:rPr>
          <w:fldChar w:fldCharType="end"/>
        </w:r>
      </w:p>
    </w:sdtContent>
  </w:sdt>
  <w:p w:rsidR="009C227C" w:rsidRPr="0016463D" w:rsidRDefault="009C227C">
    <w:pPr>
      <w:pStyle w:val="Footer"/>
      <w:rPr>
        <w:i/>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AB3" w:rsidRDefault="00897AB3" w:rsidP="0016463D">
      <w:r>
        <w:separator/>
      </w:r>
    </w:p>
  </w:footnote>
  <w:footnote w:type="continuationSeparator" w:id="0">
    <w:p w:rsidR="00897AB3" w:rsidRDefault="00897AB3" w:rsidP="00164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C27" w:rsidRDefault="00294C27">
    <w:pPr>
      <w:pStyle w:val="Header"/>
    </w:pPr>
  </w:p>
  <w:p w:rsidR="006E56D2" w:rsidRDefault="006E56D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4D5"/>
    <w:multiLevelType w:val="hybridMultilevel"/>
    <w:tmpl w:val="ED486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B83D83"/>
    <w:multiLevelType w:val="multilevel"/>
    <w:tmpl w:val="0EB8E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E7C05"/>
    <w:multiLevelType w:val="hybridMultilevel"/>
    <w:tmpl w:val="3E34E4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CD7185"/>
    <w:multiLevelType w:val="hybridMultilevel"/>
    <w:tmpl w:val="524806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4" w15:restartNumberingAfterBreak="0">
    <w:nsid w:val="173E494E"/>
    <w:multiLevelType w:val="hybridMultilevel"/>
    <w:tmpl w:val="F890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15130"/>
    <w:multiLevelType w:val="hybridMultilevel"/>
    <w:tmpl w:val="D00E5FA4"/>
    <w:lvl w:ilvl="0" w:tplc="10090001">
      <w:start w:val="1"/>
      <w:numFmt w:val="bullet"/>
      <w:lvlText w:val=""/>
      <w:lvlJc w:val="left"/>
      <w:pPr>
        <w:ind w:left="778" w:hanging="360"/>
      </w:pPr>
      <w:rPr>
        <w:rFonts w:ascii="Symbol" w:hAnsi="Symbol" w:hint="default"/>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abstractNum w:abstractNumId="6" w15:restartNumberingAfterBreak="0">
    <w:nsid w:val="19A166D6"/>
    <w:multiLevelType w:val="multilevel"/>
    <w:tmpl w:val="DA2EB5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A527743"/>
    <w:multiLevelType w:val="hybridMultilevel"/>
    <w:tmpl w:val="E1B46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FC50F7"/>
    <w:multiLevelType w:val="hybridMultilevel"/>
    <w:tmpl w:val="9A4601D0"/>
    <w:lvl w:ilvl="0" w:tplc="04090011">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9" w15:restartNumberingAfterBreak="0">
    <w:nsid w:val="20144561"/>
    <w:multiLevelType w:val="hybridMultilevel"/>
    <w:tmpl w:val="BB5EB66E"/>
    <w:lvl w:ilvl="0" w:tplc="305483E4">
      <w:start w:val="1"/>
      <w:numFmt w:val="lowerLetter"/>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24AE6D9C"/>
    <w:multiLevelType w:val="hybridMultilevel"/>
    <w:tmpl w:val="8DD0DC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DD7116"/>
    <w:multiLevelType w:val="multilevel"/>
    <w:tmpl w:val="4314B2A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2C085E98"/>
    <w:multiLevelType w:val="hybridMultilevel"/>
    <w:tmpl w:val="8794A88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2D0840E1"/>
    <w:multiLevelType w:val="hybridMultilevel"/>
    <w:tmpl w:val="7EDA09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CD0CD1"/>
    <w:multiLevelType w:val="multilevel"/>
    <w:tmpl w:val="D8B0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F1366D"/>
    <w:multiLevelType w:val="multilevel"/>
    <w:tmpl w:val="81C26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5317E2"/>
    <w:multiLevelType w:val="hybridMultilevel"/>
    <w:tmpl w:val="9CF03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7FB5411"/>
    <w:multiLevelType w:val="hybridMultilevel"/>
    <w:tmpl w:val="9490E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01FF6"/>
    <w:multiLevelType w:val="hybridMultilevel"/>
    <w:tmpl w:val="AFDE5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FA01CB4"/>
    <w:multiLevelType w:val="multilevel"/>
    <w:tmpl w:val="9CF62E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E334E6"/>
    <w:multiLevelType w:val="multilevel"/>
    <w:tmpl w:val="57DCF7EE"/>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1" w15:restartNumberingAfterBreak="0">
    <w:nsid w:val="4A23688C"/>
    <w:multiLevelType w:val="hybridMultilevel"/>
    <w:tmpl w:val="37D437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B426F83"/>
    <w:multiLevelType w:val="hybridMultilevel"/>
    <w:tmpl w:val="8FA2DD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DB2172"/>
    <w:multiLevelType w:val="multilevel"/>
    <w:tmpl w:val="8F1A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D65954"/>
    <w:multiLevelType w:val="multilevel"/>
    <w:tmpl w:val="4C98E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EB726D"/>
    <w:multiLevelType w:val="hybridMultilevel"/>
    <w:tmpl w:val="E432D542"/>
    <w:lvl w:ilvl="0" w:tplc="FBACB8B0">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26" w15:restartNumberingAfterBreak="0">
    <w:nsid w:val="504E7735"/>
    <w:multiLevelType w:val="multilevel"/>
    <w:tmpl w:val="FE2459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AD2B32"/>
    <w:multiLevelType w:val="hybridMultilevel"/>
    <w:tmpl w:val="8E8286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24740F4"/>
    <w:multiLevelType w:val="multilevel"/>
    <w:tmpl w:val="033E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1C0B0C"/>
    <w:multiLevelType w:val="hybridMultilevel"/>
    <w:tmpl w:val="8A4E4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7C60EF6"/>
    <w:multiLevelType w:val="multilevel"/>
    <w:tmpl w:val="4150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A668BE"/>
    <w:multiLevelType w:val="hybridMultilevel"/>
    <w:tmpl w:val="3CE45AC8"/>
    <w:lvl w:ilvl="0" w:tplc="10090001">
      <w:start w:val="1"/>
      <w:numFmt w:val="bullet"/>
      <w:lvlText w:val=""/>
      <w:lvlJc w:val="left"/>
      <w:pPr>
        <w:ind w:left="2778" w:hanging="360"/>
      </w:pPr>
      <w:rPr>
        <w:rFonts w:ascii="Symbol" w:hAnsi="Symbol" w:hint="default"/>
      </w:rPr>
    </w:lvl>
    <w:lvl w:ilvl="1" w:tplc="10090003" w:tentative="1">
      <w:start w:val="1"/>
      <w:numFmt w:val="bullet"/>
      <w:lvlText w:val="o"/>
      <w:lvlJc w:val="left"/>
      <w:pPr>
        <w:ind w:left="3498" w:hanging="360"/>
      </w:pPr>
      <w:rPr>
        <w:rFonts w:ascii="Courier New" w:hAnsi="Courier New" w:cs="Courier New" w:hint="default"/>
      </w:rPr>
    </w:lvl>
    <w:lvl w:ilvl="2" w:tplc="10090005" w:tentative="1">
      <w:start w:val="1"/>
      <w:numFmt w:val="bullet"/>
      <w:lvlText w:val=""/>
      <w:lvlJc w:val="left"/>
      <w:pPr>
        <w:ind w:left="4218" w:hanging="360"/>
      </w:pPr>
      <w:rPr>
        <w:rFonts w:ascii="Wingdings" w:hAnsi="Wingdings" w:hint="default"/>
      </w:rPr>
    </w:lvl>
    <w:lvl w:ilvl="3" w:tplc="10090001" w:tentative="1">
      <w:start w:val="1"/>
      <w:numFmt w:val="bullet"/>
      <w:lvlText w:val=""/>
      <w:lvlJc w:val="left"/>
      <w:pPr>
        <w:ind w:left="4938" w:hanging="360"/>
      </w:pPr>
      <w:rPr>
        <w:rFonts w:ascii="Symbol" w:hAnsi="Symbol" w:hint="default"/>
      </w:rPr>
    </w:lvl>
    <w:lvl w:ilvl="4" w:tplc="10090003" w:tentative="1">
      <w:start w:val="1"/>
      <w:numFmt w:val="bullet"/>
      <w:lvlText w:val="o"/>
      <w:lvlJc w:val="left"/>
      <w:pPr>
        <w:ind w:left="5658" w:hanging="360"/>
      </w:pPr>
      <w:rPr>
        <w:rFonts w:ascii="Courier New" w:hAnsi="Courier New" w:cs="Courier New" w:hint="default"/>
      </w:rPr>
    </w:lvl>
    <w:lvl w:ilvl="5" w:tplc="10090005" w:tentative="1">
      <w:start w:val="1"/>
      <w:numFmt w:val="bullet"/>
      <w:lvlText w:val=""/>
      <w:lvlJc w:val="left"/>
      <w:pPr>
        <w:ind w:left="6378" w:hanging="360"/>
      </w:pPr>
      <w:rPr>
        <w:rFonts w:ascii="Wingdings" w:hAnsi="Wingdings" w:hint="default"/>
      </w:rPr>
    </w:lvl>
    <w:lvl w:ilvl="6" w:tplc="10090001" w:tentative="1">
      <w:start w:val="1"/>
      <w:numFmt w:val="bullet"/>
      <w:lvlText w:val=""/>
      <w:lvlJc w:val="left"/>
      <w:pPr>
        <w:ind w:left="7098" w:hanging="360"/>
      </w:pPr>
      <w:rPr>
        <w:rFonts w:ascii="Symbol" w:hAnsi="Symbol" w:hint="default"/>
      </w:rPr>
    </w:lvl>
    <w:lvl w:ilvl="7" w:tplc="10090003" w:tentative="1">
      <w:start w:val="1"/>
      <w:numFmt w:val="bullet"/>
      <w:lvlText w:val="o"/>
      <w:lvlJc w:val="left"/>
      <w:pPr>
        <w:ind w:left="7818" w:hanging="360"/>
      </w:pPr>
      <w:rPr>
        <w:rFonts w:ascii="Courier New" w:hAnsi="Courier New" w:cs="Courier New" w:hint="default"/>
      </w:rPr>
    </w:lvl>
    <w:lvl w:ilvl="8" w:tplc="10090005" w:tentative="1">
      <w:start w:val="1"/>
      <w:numFmt w:val="bullet"/>
      <w:lvlText w:val=""/>
      <w:lvlJc w:val="left"/>
      <w:pPr>
        <w:ind w:left="8538" w:hanging="360"/>
      </w:pPr>
      <w:rPr>
        <w:rFonts w:ascii="Wingdings" w:hAnsi="Wingdings" w:hint="default"/>
      </w:rPr>
    </w:lvl>
  </w:abstractNum>
  <w:abstractNum w:abstractNumId="32" w15:restartNumberingAfterBreak="0">
    <w:nsid w:val="63E631DF"/>
    <w:multiLevelType w:val="hybridMultilevel"/>
    <w:tmpl w:val="CD721492"/>
    <w:lvl w:ilvl="0" w:tplc="10090003">
      <w:start w:val="1"/>
      <w:numFmt w:val="bullet"/>
      <w:lvlText w:val="o"/>
      <w:lvlJc w:val="left"/>
      <w:pPr>
        <w:ind w:left="1440" w:hanging="360"/>
      </w:pPr>
      <w:rPr>
        <w:rFonts w:ascii="Courier New" w:hAnsi="Courier New" w:cs="Courier New"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33" w15:restartNumberingAfterBreak="0">
    <w:nsid w:val="6D093002"/>
    <w:multiLevelType w:val="hybridMultilevel"/>
    <w:tmpl w:val="EA72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2E404C"/>
    <w:multiLevelType w:val="hybridMultilevel"/>
    <w:tmpl w:val="43E288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F5B3FA3"/>
    <w:multiLevelType w:val="hybridMultilevel"/>
    <w:tmpl w:val="0114DB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6" w15:restartNumberingAfterBreak="0">
    <w:nsid w:val="6F857E3B"/>
    <w:multiLevelType w:val="multilevel"/>
    <w:tmpl w:val="CBEA7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1215CC"/>
    <w:multiLevelType w:val="hybridMultilevel"/>
    <w:tmpl w:val="E1BA166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753A159A"/>
    <w:multiLevelType w:val="hybridMultilevel"/>
    <w:tmpl w:val="9EF6D5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EB1386"/>
    <w:multiLevelType w:val="multilevel"/>
    <w:tmpl w:val="802458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6637669"/>
    <w:multiLevelType w:val="hybridMultilevel"/>
    <w:tmpl w:val="2084C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A44FCE"/>
    <w:multiLevelType w:val="multilevel"/>
    <w:tmpl w:val="CEA402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 w15:restartNumberingAfterBreak="0">
    <w:nsid w:val="782610E8"/>
    <w:multiLevelType w:val="hybridMultilevel"/>
    <w:tmpl w:val="27F09D5E"/>
    <w:lvl w:ilvl="0" w:tplc="AF9EC94C">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E95F06"/>
    <w:multiLevelType w:val="hybridMultilevel"/>
    <w:tmpl w:val="B0983E5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44" w15:restartNumberingAfterBreak="0">
    <w:nsid w:val="7B8E490B"/>
    <w:multiLevelType w:val="hybridMultilevel"/>
    <w:tmpl w:val="CD2CA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C88320B"/>
    <w:multiLevelType w:val="hybridMultilevel"/>
    <w:tmpl w:val="765E8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1802D7"/>
    <w:multiLevelType w:val="hybridMultilevel"/>
    <w:tmpl w:val="8E025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F2C7E83"/>
    <w:multiLevelType w:val="multilevel"/>
    <w:tmpl w:val="6A42F8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3"/>
  </w:num>
  <w:num w:numId="3">
    <w:abstractNumId w:val="17"/>
  </w:num>
  <w:num w:numId="4">
    <w:abstractNumId w:val="40"/>
  </w:num>
  <w:num w:numId="5">
    <w:abstractNumId w:val="42"/>
  </w:num>
  <w:num w:numId="6">
    <w:abstractNumId w:val="4"/>
  </w:num>
  <w:num w:numId="7">
    <w:abstractNumId w:val="0"/>
  </w:num>
  <w:num w:numId="8">
    <w:abstractNumId w:val="21"/>
  </w:num>
  <w:num w:numId="9">
    <w:abstractNumId w:val="19"/>
  </w:num>
  <w:num w:numId="10">
    <w:abstractNumId w:val="30"/>
  </w:num>
  <w:num w:numId="11">
    <w:abstractNumId w:val="37"/>
  </w:num>
  <w:num w:numId="12">
    <w:abstractNumId w:val="38"/>
  </w:num>
  <w:num w:numId="13">
    <w:abstractNumId w:val="34"/>
  </w:num>
  <w:num w:numId="14">
    <w:abstractNumId w:val="25"/>
  </w:num>
  <w:num w:numId="15">
    <w:abstractNumId w:val="5"/>
  </w:num>
  <w:num w:numId="16">
    <w:abstractNumId w:val="18"/>
  </w:num>
  <w:num w:numId="17">
    <w:abstractNumId w:val="12"/>
  </w:num>
  <w:num w:numId="18">
    <w:abstractNumId w:val="16"/>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num>
  <w:num w:numId="2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
  </w:num>
  <w:num w:numId="30">
    <w:abstractNumId w:val="11"/>
  </w:num>
  <w:num w:numId="31">
    <w:abstractNumId w:val="15"/>
  </w:num>
  <w:num w:numId="32">
    <w:abstractNumId w:val="26"/>
  </w:num>
  <w:num w:numId="33">
    <w:abstractNumId w:val="31"/>
  </w:num>
  <w:num w:numId="34">
    <w:abstractNumId w:val="27"/>
  </w:num>
  <w:num w:numId="35">
    <w:abstractNumId w:val="8"/>
  </w:num>
  <w:num w:numId="36">
    <w:abstractNumId w:val="46"/>
  </w:num>
  <w:num w:numId="37">
    <w:abstractNumId w:val="7"/>
  </w:num>
  <w:num w:numId="38">
    <w:abstractNumId w:val="24"/>
  </w:num>
  <w:num w:numId="39">
    <w:abstractNumId w:val="23"/>
  </w:num>
  <w:num w:numId="40">
    <w:abstractNumId w:val="28"/>
  </w:num>
  <w:num w:numId="41">
    <w:abstractNumId w:val="47"/>
  </w:num>
  <w:num w:numId="42">
    <w:abstractNumId w:val="10"/>
  </w:num>
  <w:num w:numId="43">
    <w:abstractNumId w:val="45"/>
  </w:num>
  <w:num w:numId="44">
    <w:abstractNumId w:val="36"/>
  </w:num>
  <w:num w:numId="45">
    <w:abstractNumId w:val="13"/>
  </w:num>
  <w:num w:numId="46">
    <w:abstractNumId w:val="2"/>
  </w:num>
  <w:num w:numId="47">
    <w:abstractNumId w:val="22"/>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08"/>
    <w:rsid w:val="000012D6"/>
    <w:rsid w:val="00012E4D"/>
    <w:rsid w:val="00014FB9"/>
    <w:rsid w:val="00027AC3"/>
    <w:rsid w:val="000313FD"/>
    <w:rsid w:val="00041595"/>
    <w:rsid w:val="00042B25"/>
    <w:rsid w:val="00044566"/>
    <w:rsid w:val="00055DB0"/>
    <w:rsid w:val="0006664F"/>
    <w:rsid w:val="0007658D"/>
    <w:rsid w:val="00086580"/>
    <w:rsid w:val="00097794"/>
    <w:rsid w:val="000C59EF"/>
    <w:rsid w:val="000E1DB9"/>
    <w:rsid w:val="000F0308"/>
    <w:rsid w:val="00126864"/>
    <w:rsid w:val="00161F29"/>
    <w:rsid w:val="0016463D"/>
    <w:rsid w:val="001704E7"/>
    <w:rsid w:val="001726D2"/>
    <w:rsid w:val="00173D21"/>
    <w:rsid w:val="001865E9"/>
    <w:rsid w:val="001A27D2"/>
    <w:rsid w:val="001B00E4"/>
    <w:rsid w:val="001B143A"/>
    <w:rsid w:val="001B48F5"/>
    <w:rsid w:val="001D4B31"/>
    <w:rsid w:val="001E4282"/>
    <w:rsid w:val="001F137B"/>
    <w:rsid w:val="001F48E1"/>
    <w:rsid w:val="00202B1E"/>
    <w:rsid w:val="00205908"/>
    <w:rsid w:val="002074AA"/>
    <w:rsid w:val="002343BD"/>
    <w:rsid w:val="00247B20"/>
    <w:rsid w:val="00251AD3"/>
    <w:rsid w:val="00262CB2"/>
    <w:rsid w:val="0026319A"/>
    <w:rsid w:val="00271B81"/>
    <w:rsid w:val="00280770"/>
    <w:rsid w:val="00294C27"/>
    <w:rsid w:val="002B0A6B"/>
    <w:rsid w:val="002C0097"/>
    <w:rsid w:val="002C0DB8"/>
    <w:rsid w:val="002C33F1"/>
    <w:rsid w:val="002C65A0"/>
    <w:rsid w:val="002C6785"/>
    <w:rsid w:val="002E1133"/>
    <w:rsid w:val="002F1D38"/>
    <w:rsid w:val="00306948"/>
    <w:rsid w:val="003075A4"/>
    <w:rsid w:val="0033169E"/>
    <w:rsid w:val="00333751"/>
    <w:rsid w:val="00347815"/>
    <w:rsid w:val="00350512"/>
    <w:rsid w:val="00361A47"/>
    <w:rsid w:val="0037710A"/>
    <w:rsid w:val="00385DE1"/>
    <w:rsid w:val="003A751E"/>
    <w:rsid w:val="003B5C0C"/>
    <w:rsid w:val="003C043A"/>
    <w:rsid w:val="003C68C4"/>
    <w:rsid w:val="003D3E25"/>
    <w:rsid w:val="003E599E"/>
    <w:rsid w:val="003E6116"/>
    <w:rsid w:val="003F5FDE"/>
    <w:rsid w:val="00403F9D"/>
    <w:rsid w:val="004211B1"/>
    <w:rsid w:val="004262F4"/>
    <w:rsid w:val="004301C3"/>
    <w:rsid w:val="00430B80"/>
    <w:rsid w:val="0043327B"/>
    <w:rsid w:val="00434388"/>
    <w:rsid w:val="0043516C"/>
    <w:rsid w:val="00436268"/>
    <w:rsid w:val="004406C1"/>
    <w:rsid w:val="00447DCF"/>
    <w:rsid w:val="00454720"/>
    <w:rsid w:val="00457E8A"/>
    <w:rsid w:val="004616DA"/>
    <w:rsid w:val="00465E30"/>
    <w:rsid w:val="00494705"/>
    <w:rsid w:val="004A0E98"/>
    <w:rsid w:val="004B218A"/>
    <w:rsid w:val="004B3A2F"/>
    <w:rsid w:val="004C4D72"/>
    <w:rsid w:val="004D0652"/>
    <w:rsid w:val="004D7D6A"/>
    <w:rsid w:val="004E6F6B"/>
    <w:rsid w:val="004F04F9"/>
    <w:rsid w:val="004F09D3"/>
    <w:rsid w:val="004F79E2"/>
    <w:rsid w:val="00520740"/>
    <w:rsid w:val="00534A72"/>
    <w:rsid w:val="005364CD"/>
    <w:rsid w:val="00540958"/>
    <w:rsid w:val="0054254C"/>
    <w:rsid w:val="00557ED4"/>
    <w:rsid w:val="00564867"/>
    <w:rsid w:val="00597751"/>
    <w:rsid w:val="005A48C5"/>
    <w:rsid w:val="005A58A7"/>
    <w:rsid w:val="005B4C93"/>
    <w:rsid w:val="005C6DC0"/>
    <w:rsid w:val="005D69EB"/>
    <w:rsid w:val="005D6ED5"/>
    <w:rsid w:val="005E40E4"/>
    <w:rsid w:val="005E6C3F"/>
    <w:rsid w:val="005F5F72"/>
    <w:rsid w:val="005F7AE6"/>
    <w:rsid w:val="00603F4A"/>
    <w:rsid w:val="00607849"/>
    <w:rsid w:val="006117E3"/>
    <w:rsid w:val="006259E0"/>
    <w:rsid w:val="0064582D"/>
    <w:rsid w:val="0064601F"/>
    <w:rsid w:val="00646090"/>
    <w:rsid w:val="006469EE"/>
    <w:rsid w:val="00656E16"/>
    <w:rsid w:val="0068208E"/>
    <w:rsid w:val="00690FEB"/>
    <w:rsid w:val="00692838"/>
    <w:rsid w:val="006930C4"/>
    <w:rsid w:val="006C5B13"/>
    <w:rsid w:val="006C7A52"/>
    <w:rsid w:val="006D626D"/>
    <w:rsid w:val="006E4CB5"/>
    <w:rsid w:val="006E56D2"/>
    <w:rsid w:val="006F00CB"/>
    <w:rsid w:val="006F4007"/>
    <w:rsid w:val="006F7F41"/>
    <w:rsid w:val="00701C3E"/>
    <w:rsid w:val="007048D2"/>
    <w:rsid w:val="0071281A"/>
    <w:rsid w:val="00722441"/>
    <w:rsid w:val="00731CB3"/>
    <w:rsid w:val="0073500A"/>
    <w:rsid w:val="00747B6B"/>
    <w:rsid w:val="00763980"/>
    <w:rsid w:val="00775D1D"/>
    <w:rsid w:val="007837CF"/>
    <w:rsid w:val="00786BD8"/>
    <w:rsid w:val="0079305B"/>
    <w:rsid w:val="007A0C44"/>
    <w:rsid w:val="007A36E3"/>
    <w:rsid w:val="007A789A"/>
    <w:rsid w:val="007B173A"/>
    <w:rsid w:val="007D1A47"/>
    <w:rsid w:val="007E34E8"/>
    <w:rsid w:val="007E756B"/>
    <w:rsid w:val="007E7FAB"/>
    <w:rsid w:val="00803DAA"/>
    <w:rsid w:val="0081043A"/>
    <w:rsid w:val="0081091C"/>
    <w:rsid w:val="00811AC7"/>
    <w:rsid w:val="00813B0E"/>
    <w:rsid w:val="00815E92"/>
    <w:rsid w:val="00822A08"/>
    <w:rsid w:val="00822ABE"/>
    <w:rsid w:val="0083302A"/>
    <w:rsid w:val="00840E53"/>
    <w:rsid w:val="00840FD5"/>
    <w:rsid w:val="00844179"/>
    <w:rsid w:val="008520BA"/>
    <w:rsid w:val="0087094A"/>
    <w:rsid w:val="00895300"/>
    <w:rsid w:val="00897AB3"/>
    <w:rsid w:val="008B28EF"/>
    <w:rsid w:val="008D690C"/>
    <w:rsid w:val="00915BBA"/>
    <w:rsid w:val="009249A6"/>
    <w:rsid w:val="00942428"/>
    <w:rsid w:val="00943A86"/>
    <w:rsid w:val="009442C7"/>
    <w:rsid w:val="00951657"/>
    <w:rsid w:val="009721F5"/>
    <w:rsid w:val="00980D14"/>
    <w:rsid w:val="00981E89"/>
    <w:rsid w:val="00984086"/>
    <w:rsid w:val="00991794"/>
    <w:rsid w:val="009948FD"/>
    <w:rsid w:val="009972F9"/>
    <w:rsid w:val="009A2A31"/>
    <w:rsid w:val="009A732E"/>
    <w:rsid w:val="009C227C"/>
    <w:rsid w:val="009C3E98"/>
    <w:rsid w:val="009C70FB"/>
    <w:rsid w:val="009F0047"/>
    <w:rsid w:val="009F7768"/>
    <w:rsid w:val="00A001B3"/>
    <w:rsid w:val="00A14C21"/>
    <w:rsid w:val="00A27336"/>
    <w:rsid w:val="00A31BE6"/>
    <w:rsid w:val="00A57572"/>
    <w:rsid w:val="00A7242D"/>
    <w:rsid w:val="00A74247"/>
    <w:rsid w:val="00A8108E"/>
    <w:rsid w:val="00A8648C"/>
    <w:rsid w:val="00AB3DB9"/>
    <w:rsid w:val="00AC6094"/>
    <w:rsid w:val="00AE3E75"/>
    <w:rsid w:val="00AE7028"/>
    <w:rsid w:val="00AF12D2"/>
    <w:rsid w:val="00AF4028"/>
    <w:rsid w:val="00B03316"/>
    <w:rsid w:val="00B077ED"/>
    <w:rsid w:val="00B14E7B"/>
    <w:rsid w:val="00B26318"/>
    <w:rsid w:val="00B3108F"/>
    <w:rsid w:val="00B37CC0"/>
    <w:rsid w:val="00B4588E"/>
    <w:rsid w:val="00B525A9"/>
    <w:rsid w:val="00B6190D"/>
    <w:rsid w:val="00B657D6"/>
    <w:rsid w:val="00B765E1"/>
    <w:rsid w:val="00B9130F"/>
    <w:rsid w:val="00B914AC"/>
    <w:rsid w:val="00B950A8"/>
    <w:rsid w:val="00B96AF6"/>
    <w:rsid w:val="00B97BB8"/>
    <w:rsid w:val="00B97DE6"/>
    <w:rsid w:val="00BA7101"/>
    <w:rsid w:val="00BD46B9"/>
    <w:rsid w:val="00BE0B38"/>
    <w:rsid w:val="00BE1414"/>
    <w:rsid w:val="00BE518C"/>
    <w:rsid w:val="00BE5BB6"/>
    <w:rsid w:val="00BE6974"/>
    <w:rsid w:val="00BF21AC"/>
    <w:rsid w:val="00BF248A"/>
    <w:rsid w:val="00BF7076"/>
    <w:rsid w:val="00C159CB"/>
    <w:rsid w:val="00C2220A"/>
    <w:rsid w:val="00C2352C"/>
    <w:rsid w:val="00C6713B"/>
    <w:rsid w:val="00C764DE"/>
    <w:rsid w:val="00C77D01"/>
    <w:rsid w:val="00C9354C"/>
    <w:rsid w:val="00CA5042"/>
    <w:rsid w:val="00CA7C9A"/>
    <w:rsid w:val="00CB11EF"/>
    <w:rsid w:val="00CC460C"/>
    <w:rsid w:val="00CC7B2B"/>
    <w:rsid w:val="00CE16B1"/>
    <w:rsid w:val="00CF0A5A"/>
    <w:rsid w:val="00D12B98"/>
    <w:rsid w:val="00D13931"/>
    <w:rsid w:val="00D1692F"/>
    <w:rsid w:val="00D26A3E"/>
    <w:rsid w:val="00D3501A"/>
    <w:rsid w:val="00D447E9"/>
    <w:rsid w:val="00D535E2"/>
    <w:rsid w:val="00D63ED3"/>
    <w:rsid w:val="00D7225A"/>
    <w:rsid w:val="00D95496"/>
    <w:rsid w:val="00DA61E4"/>
    <w:rsid w:val="00DA6F0C"/>
    <w:rsid w:val="00DB27F6"/>
    <w:rsid w:val="00DB39AF"/>
    <w:rsid w:val="00DC4677"/>
    <w:rsid w:val="00DC6726"/>
    <w:rsid w:val="00DD6B3A"/>
    <w:rsid w:val="00DE12D7"/>
    <w:rsid w:val="00DE26C5"/>
    <w:rsid w:val="00DF19EF"/>
    <w:rsid w:val="00E02CBD"/>
    <w:rsid w:val="00E24634"/>
    <w:rsid w:val="00E35F94"/>
    <w:rsid w:val="00E70ABE"/>
    <w:rsid w:val="00E716DC"/>
    <w:rsid w:val="00E74CBB"/>
    <w:rsid w:val="00E761A8"/>
    <w:rsid w:val="00E834F6"/>
    <w:rsid w:val="00E92C9C"/>
    <w:rsid w:val="00EA090E"/>
    <w:rsid w:val="00EC6059"/>
    <w:rsid w:val="00ED4697"/>
    <w:rsid w:val="00EE2FA4"/>
    <w:rsid w:val="00EF08F9"/>
    <w:rsid w:val="00F0193F"/>
    <w:rsid w:val="00F055AD"/>
    <w:rsid w:val="00F106FD"/>
    <w:rsid w:val="00F1472D"/>
    <w:rsid w:val="00F201BD"/>
    <w:rsid w:val="00F34250"/>
    <w:rsid w:val="00F40386"/>
    <w:rsid w:val="00F87B06"/>
    <w:rsid w:val="00F97381"/>
    <w:rsid w:val="00FE072E"/>
    <w:rsid w:val="00FE170F"/>
    <w:rsid w:val="00FE5208"/>
    <w:rsid w:val="00FF115B"/>
    <w:rsid w:val="00FF7B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37FB"/>
  <w15:docId w15:val="{14861DB9-B11E-498B-B403-AD12B6C6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3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302A"/>
    <w:pPr>
      <w:keepNext/>
      <w:widowControl w:val="0"/>
      <w:autoSpaceDE w:val="0"/>
      <w:autoSpaceDN w:val="0"/>
      <w:adjustRightInd w:val="0"/>
      <w:jc w:val="center"/>
      <w:outlineLvl w:val="0"/>
    </w:pPr>
    <w:rPr>
      <w:b/>
      <w:bCs/>
      <w:sz w:val="20"/>
      <w:lang w:val="en-GB"/>
    </w:rPr>
  </w:style>
  <w:style w:type="paragraph" w:styleId="Heading2">
    <w:name w:val="heading 2"/>
    <w:basedOn w:val="Normal"/>
    <w:next w:val="Normal"/>
    <w:link w:val="Heading2Char"/>
    <w:qFormat/>
    <w:rsid w:val="0083302A"/>
    <w:pPr>
      <w:keepNext/>
      <w:widowControl w:val="0"/>
      <w:autoSpaceDE w:val="0"/>
      <w:autoSpaceDN w:val="0"/>
      <w:adjustRightInd w:val="0"/>
      <w:jc w:val="center"/>
      <w:outlineLvl w:val="1"/>
    </w:pPr>
    <w:rPr>
      <w:b/>
      <w:bCs/>
      <w:sz w:val="28"/>
      <w:lang w:val="en-GB"/>
    </w:rPr>
  </w:style>
  <w:style w:type="paragraph" w:styleId="Heading3">
    <w:name w:val="heading 3"/>
    <w:basedOn w:val="Normal"/>
    <w:next w:val="Normal"/>
    <w:link w:val="Heading3Char"/>
    <w:uiPriority w:val="9"/>
    <w:semiHidden/>
    <w:unhideWhenUsed/>
    <w:qFormat/>
    <w:rsid w:val="00B3108F"/>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5208"/>
    <w:pPr>
      <w:spacing w:before="100" w:beforeAutospacing="1" w:after="100" w:afterAutospacing="1"/>
    </w:pPr>
    <w:rPr>
      <w:lang w:eastAsia="en-CA"/>
    </w:rPr>
  </w:style>
  <w:style w:type="character" w:styleId="Hyperlink">
    <w:name w:val="Hyperlink"/>
    <w:unhideWhenUsed/>
    <w:rsid w:val="00FE5208"/>
    <w:rPr>
      <w:color w:val="0000FF"/>
      <w:u w:val="single"/>
    </w:rPr>
  </w:style>
  <w:style w:type="paragraph" w:styleId="ListParagraph">
    <w:name w:val="List Paragraph"/>
    <w:basedOn w:val="Normal"/>
    <w:uiPriority w:val="34"/>
    <w:qFormat/>
    <w:rsid w:val="00FE5208"/>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B0A6B"/>
    <w:rPr>
      <w:rFonts w:ascii="Tahoma" w:hAnsi="Tahoma" w:cs="Tahoma"/>
      <w:sz w:val="16"/>
      <w:szCs w:val="16"/>
    </w:rPr>
  </w:style>
  <w:style w:type="character" w:customStyle="1" w:styleId="BalloonTextChar">
    <w:name w:val="Balloon Text Char"/>
    <w:basedOn w:val="DefaultParagraphFont"/>
    <w:link w:val="BalloonText"/>
    <w:uiPriority w:val="99"/>
    <w:semiHidden/>
    <w:rsid w:val="002B0A6B"/>
    <w:rPr>
      <w:rFonts w:ascii="Tahoma" w:hAnsi="Tahoma" w:cs="Tahoma"/>
      <w:sz w:val="16"/>
      <w:szCs w:val="16"/>
    </w:rPr>
  </w:style>
  <w:style w:type="paragraph" w:styleId="Revision">
    <w:name w:val="Revision"/>
    <w:hidden/>
    <w:uiPriority w:val="99"/>
    <w:semiHidden/>
    <w:rsid w:val="00350512"/>
    <w:pPr>
      <w:spacing w:after="0" w:line="240" w:lineRule="auto"/>
    </w:pPr>
  </w:style>
  <w:style w:type="character" w:styleId="FollowedHyperlink">
    <w:name w:val="FollowedHyperlink"/>
    <w:basedOn w:val="DefaultParagraphFont"/>
    <w:uiPriority w:val="99"/>
    <w:semiHidden/>
    <w:unhideWhenUsed/>
    <w:rsid w:val="00205908"/>
    <w:rPr>
      <w:color w:val="954F72" w:themeColor="followedHyperlink"/>
      <w:u w:val="single"/>
    </w:rPr>
  </w:style>
  <w:style w:type="paragraph" w:styleId="Header">
    <w:name w:val="header"/>
    <w:basedOn w:val="Normal"/>
    <w:link w:val="HeaderChar"/>
    <w:uiPriority w:val="99"/>
    <w:unhideWhenUsed/>
    <w:rsid w:val="0016463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6463D"/>
  </w:style>
  <w:style w:type="paragraph" w:styleId="Footer">
    <w:name w:val="footer"/>
    <w:basedOn w:val="Normal"/>
    <w:link w:val="FooterChar"/>
    <w:uiPriority w:val="99"/>
    <w:unhideWhenUsed/>
    <w:rsid w:val="0016463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6463D"/>
  </w:style>
  <w:style w:type="character" w:styleId="Strong">
    <w:name w:val="Strong"/>
    <w:basedOn w:val="DefaultParagraphFont"/>
    <w:uiPriority w:val="22"/>
    <w:qFormat/>
    <w:rsid w:val="002C65A0"/>
    <w:rPr>
      <w:b/>
      <w:bCs/>
    </w:rPr>
  </w:style>
  <w:style w:type="character" w:styleId="CommentReference">
    <w:name w:val="annotation reference"/>
    <w:basedOn w:val="DefaultParagraphFont"/>
    <w:uiPriority w:val="99"/>
    <w:semiHidden/>
    <w:unhideWhenUsed/>
    <w:rsid w:val="00CE16B1"/>
    <w:rPr>
      <w:sz w:val="16"/>
      <w:szCs w:val="16"/>
    </w:rPr>
  </w:style>
  <w:style w:type="paragraph" w:styleId="CommentText">
    <w:name w:val="annotation text"/>
    <w:basedOn w:val="Normal"/>
    <w:link w:val="CommentTextChar"/>
    <w:uiPriority w:val="99"/>
    <w:semiHidden/>
    <w:unhideWhenUsed/>
    <w:rsid w:val="00CE16B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E16B1"/>
    <w:rPr>
      <w:sz w:val="20"/>
      <w:szCs w:val="20"/>
    </w:rPr>
  </w:style>
  <w:style w:type="paragraph" w:styleId="CommentSubject">
    <w:name w:val="annotation subject"/>
    <w:basedOn w:val="CommentText"/>
    <w:next w:val="CommentText"/>
    <w:link w:val="CommentSubjectChar"/>
    <w:uiPriority w:val="99"/>
    <w:semiHidden/>
    <w:unhideWhenUsed/>
    <w:rsid w:val="00CE16B1"/>
    <w:rPr>
      <w:b/>
      <w:bCs/>
    </w:rPr>
  </w:style>
  <w:style w:type="character" w:customStyle="1" w:styleId="CommentSubjectChar">
    <w:name w:val="Comment Subject Char"/>
    <w:basedOn w:val="CommentTextChar"/>
    <w:link w:val="CommentSubject"/>
    <w:uiPriority w:val="99"/>
    <w:semiHidden/>
    <w:rsid w:val="00CE16B1"/>
    <w:rPr>
      <w:b/>
      <w:bCs/>
      <w:sz w:val="20"/>
      <w:szCs w:val="20"/>
    </w:rPr>
  </w:style>
  <w:style w:type="character" w:customStyle="1" w:styleId="Heading1Char">
    <w:name w:val="Heading 1 Char"/>
    <w:basedOn w:val="DefaultParagraphFont"/>
    <w:link w:val="Heading1"/>
    <w:rsid w:val="0083302A"/>
    <w:rPr>
      <w:rFonts w:ascii="Times New Roman" w:eastAsia="Times New Roman" w:hAnsi="Times New Roman" w:cs="Times New Roman"/>
      <w:b/>
      <w:bCs/>
      <w:sz w:val="20"/>
      <w:szCs w:val="24"/>
      <w:lang w:val="en-GB"/>
    </w:rPr>
  </w:style>
  <w:style w:type="character" w:customStyle="1" w:styleId="Heading2Char">
    <w:name w:val="Heading 2 Char"/>
    <w:basedOn w:val="DefaultParagraphFont"/>
    <w:link w:val="Heading2"/>
    <w:rsid w:val="0083302A"/>
    <w:rPr>
      <w:rFonts w:ascii="Times New Roman" w:eastAsia="Times New Roman" w:hAnsi="Times New Roman" w:cs="Times New Roman"/>
      <w:b/>
      <w:bCs/>
      <w:sz w:val="28"/>
      <w:szCs w:val="24"/>
      <w:lang w:val="en-GB"/>
    </w:rPr>
  </w:style>
  <w:style w:type="table" w:styleId="TableGrid">
    <w:name w:val="Table Grid"/>
    <w:basedOn w:val="TableNormal"/>
    <w:uiPriority w:val="59"/>
    <w:rsid w:val="00AE3E75"/>
    <w:pPr>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B3108F"/>
    <w:rPr>
      <w:rFonts w:asciiTheme="majorHAnsi" w:eastAsiaTheme="majorEastAsia" w:hAnsiTheme="majorHAnsi" w:cstheme="majorBidi"/>
      <w:color w:val="1F4D78" w:themeColor="accent1" w:themeShade="7F"/>
      <w:sz w:val="24"/>
      <w:szCs w:val="24"/>
    </w:rPr>
  </w:style>
  <w:style w:type="table" w:styleId="LightShading-Accent1">
    <w:name w:val="Light Shading Accent 1"/>
    <w:basedOn w:val="TableNormal"/>
    <w:uiPriority w:val="60"/>
    <w:rsid w:val="00B3108F"/>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NoSpacing">
    <w:name w:val="No Spacing"/>
    <w:uiPriority w:val="1"/>
    <w:qFormat/>
    <w:rsid w:val="00F147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09887">
      <w:bodyDiv w:val="1"/>
      <w:marLeft w:val="0"/>
      <w:marRight w:val="0"/>
      <w:marTop w:val="0"/>
      <w:marBottom w:val="0"/>
      <w:divBdr>
        <w:top w:val="none" w:sz="0" w:space="0" w:color="auto"/>
        <w:left w:val="none" w:sz="0" w:space="0" w:color="auto"/>
        <w:bottom w:val="none" w:sz="0" w:space="0" w:color="auto"/>
        <w:right w:val="none" w:sz="0" w:space="0" w:color="auto"/>
      </w:divBdr>
      <w:divsChild>
        <w:div w:id="1082338624">
          <w:marLeft w:val="0"/>
          <w:marRight w:val="0"/>
          <w:marTop w:val="0"/>
          <w:marBottom w:val="0"/>
          <w:divBdr>
            <w:top w:val="none" w:sz="0" w:space="0" w:color="auto"/>
            <w:left w:val="none" w:sz="0" w:space="0" w:color="auto"/>
            <w:bottom w:val="none" w:sz="0" w:space="0" w:color="auto"/>
            <w:right w:val="none" w:sz="0" w:space="0" w:color="auto"/>
          </w:divBdr>
          <w:divsChild>
            <w:div w:id="1641229880">
              <w:marLeft w:val="0"/>
              <w:marRight w:val="0"/>
              <w:marTop w:val="0"/>
              <w:marBottom w:val="0"/>
              <w:divBdr>
                <w:top w:val="none" w:sz="0" w:space="0" w:color="auto"/>
                <w:left w:val="none" w:sz="0" w:space="0" w:color="auto"/>
                <w:bottom w:val="none" w:sz="0" w:space="0" w:color="auto"/>
                <w:right w:val="none" w:sz="0" w:space="0" w:color="auto"/>
              </w:divBdr>
              <w:divsChild>
                <w:div w:id="156312764">
                  <w:marLeft w:val="0"/>
                  <w:marRight w:val="0"/>
                  <w:marTop w:val="0"/>
                  <w:marBottom w:val="0"/>
                  <w:divBdr>
                    <w:top w:val="none" w:sz="0" w:space="0" w:color="auto"/>
                    <w:left w:val="none" w:sz="0" w:space="0" w:color="auto"/>
                    <w:bottom w:val="none" w:sz="0" w:space="0" w:color="auto"/>
                    <w:right w:val="none" w:sz="0" w:space="0" w:color="auto"/>
                  </w:divBdr>
                  <w:divsChild>
                    <w:div w:id="911041049">
                      <w:marLeft w:val="0"/>
                      <w:marRight w:val="0"/>
                      <w:marTop w:val="0"/>
                      <w:marBottom w:val="0"/>
                      <w:divBdr>
                        <w:top w:val="none" w:sz="0" w:space="0" w:color="auto"/>
                        <w:left w:val="none" w:sz="0" w:space="0" w:color="auto"/>
                        <w:bottom w:val="none" w:sz="0" w:space="0" w:color="auto"/>
                        <w:right w:val="none" w:sz="0" w:space="0" w:color="auto"/>
                      </w:divBdr>
                      <w:divsChild>
                        <w:div w:id="568541000">
                          <w:marLeft w:val="0"/>
                          <w:marRight w:val="0"/>
                          <w:marTop w:val="0"/>
                          <w:marBottom w:val="0"/>
                          <w:divBdr>
                            <w:top w:val="none" w:sz="0" w:space="0" w:color="auto"/>
                            <w:left w:val="none" w:sz="0" w:space="0" w:color="auto"/>
                            <w:bottom w:val="none" w:sz="0" w:space="0" w:color="auto"/>
                            <w:right w:val="none" w:sz="0" w:space="0" w:color="auto"/>
                          </w:divBdr>
                          <w:divsChild>
                            <w:div w:id="27679658">
                              <w:marLeft w:val="15"/>
                              <w:marRight w:val="15"/>
                              <w:marTop w:val="15"/>
                              <w:marBottom w:val="15"/>
                              <w:divBdr>
                                <w:top w:val="none" w:sz="0" w:space="0" w:color="auto"/>
                                <w:left w:val="none" w:sz="0" w:space="0" w:color="auto"/>
                                <w:bottom w:val="none" w:sz="0" w:space="0" w:color="auto"/>
                                <w:right w:val="none" w:sz="0" w:space="0" w:color="auto"/>
                              </w:divBdr>
                              <w:divsChild>
                                <w:div w:id="19390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703363">
      <w:bodyDiv w:val="1"/>
      <w:marLeft w:val="0"/>
      <w:marRight w:val="0"/>
      <w:marTop w:val="0"/>
      <w:marBottom w:val="0"/>
      <w:divBdr>
        <w:top w:val="none" w:sz="0" w:space="0" w:color="auto"/>
        <w:left w:val="none" w:sz="0" w:space="0" w:color="auto"/>
        <w:bottom w:val="none" w:sz="0" w:space="0" w:color="auto"/>
        <w:right w:val="none" w:sz="0" w:space="0" w:color="auto"/>
      </w:divBdr>
    </w:div>
    <w:div w:id="473765037">
      <w:bodyDiv w:val="1"/>
      <w:marLeft w:val="0"/>
      <w:marRight w:val="0"/>
      <w:marTop w:val="0"/>
      <w:marBottom w:val="0"/>
      <w:divBdr>
        <w:top w:val="none" w:sz="0" w:space="0" w:color="auto"/>
        <w:left w:val="none" w:sz="0" w:space="0" w:color="auto"/>
        <w:bottom w:val="none" w:sz="0" w:space="0" w:color="auto"/>
        <w:right w:val="none" w:sz="0" w:space="0" w:color="auto"/>
      </w:divBdr>
    </w:div>
    <w:div w:id="567767145">
      <w:bodyDiv w:val="1"/>
      <w:marLeft w:val="0"/>
      <w:marRight w:val="0"/>
      <w:marTop w:val="0"/>
      <w:marBottom w:val="0"/>
      <w:divBdr>
        <w:top w:val="none" w:sz="0" w:space="0" w:color="auto"/>
        <w:left w:val="none" w:sz="0" w:space="0" w:color="auto"/>
        <w:bottom w:val="none" w:sz="0" w:space="0" w:color="auto"/>
        <w:right w:val="none" w:sz="0" w:space="0" w:color="auto"/>
      </w:divBdr>
      <w:divsChild>
        <w:div w:id="1458529915">
          <w:marLeft w:val="0"/>
          <w:marRight w:val="0"/>
          <w:marTop w:val="0"/>
          <w:marBottom w:val="0"/>
          <w:divBdr>
            <w:top w:val="none" w:sz="0" w:space="0" w:color="auto"/>
            <w:left w:val="none" w:sz="0" w:space="0" w:color="auto"/>
            <w:bottom w:val="none" w:sz="0" w:space="0" w:color="auto"/>
            <w:right w:val="none" w:sz="0" w:space="0" w:color="auto"/>
          </w:divBdr>
          <w:divsChild>
            <w:div w:id="257519196">
              <w:marLeft w:val="0"/>
              <w:marRight w:val="0"/>
              <w:marTop w:val="0"/>
              <w:marBottom w:val="0"/>
              <w:divBdr>
                <w:top w:val="none" w:sz="0" w:space="0" w:color="auto"/>
                <w:left w:val="none" w:sz="0" w:space="0" w:color="auto"/>
                <w:bottom w:val="none" w:sz="0" w:space="0" w:color="auto"/>
                <w:right w:val="none" w:sz="0" w:space="0" w:color="auto"/>
              </w:divBdr>
              <w:divsChild>
                <w:div w:id="689990263">
                  <w:marLeft w:val="0"/>
                  <w:marRight w:val="0"/>
                  <w:marTop w:val="0"/>
                  <w:marBottom w:val="0"/>
                  <w:divBdr>
                    <w:top w:val="none" w:sz="0" w:space="0" w:color="auto"/>
                    <w:left w:val="none" w:sz="0" w:space="0" w:color="auto"/>
                    <w:bottom w:val="none" w:sz="0" w:space="0" w:color="auto"/>
                    <w:right w:val="none" w:sz="0" w:space="0" w:color="auto"/>
                  </w:divBdr>
                  <w:divsChild>
                    <w:div w:id="234048872">
                      <w:marLeft w:val="0"/>
                      <w:marRight w:val="0"/>
                      <w:marTop w:val="0"/>
                      <w:marBottom w:val="0"/>
                      <w:divBdr>
                        <w:top w:val="none" w:sz="0" w:space="0" w:color="auto"/>
                        <w:left w:val="none" w:sz="0" w:space="0" w:color="auto"/>
                        <w:bottom w:val="none" w:sz="0" w:space="0" w:color="auto"/>
                        <w:right w:val="none" w:sz="0" w:space="0" w:color="auto"/>
                      </w:divBdr>
                      <w:divsChild>
                        <w:div w:id="1790080766">
                          <w:marLeft w:val="0"/>
                          <w:marRight w:val="0"/>
                          <w:marTop w:val="0"/>
                          <w:marBottom w:val="0"/>
                          <w:divBdr>
                            <w:top w:val="none" w:sz="0" w:space="0" w:color="auto"/>
                            <w:left w:val="none" w:sz="0" w:space="0" w:color="auto"/>
                            <w:bottom w:val="none" w:sz="0" w:space="0" w:color="auto"/>
                            <w:right w:val="none" w:sz="0" w:space="0" w:color="auto"/>
                          </w:divBdr>
                          <w:divsChild>
                            <w:div w:id="1141997032">
                              <w:marLeft w:val="15"/>
                              <w:marRight w:val="15"/>
                              <w:marTop w:val="15"/>
                              <w:marBottom w:val="15"/>
                              <w:divBdr>
                                <w:top w:val="none" w:sz="0" w:space="0" w:color="auto"/>
                                <w:left w:val="none" w:sz="0" w:space="0" w:color="auto"/>
                                <w:bottom w:val="none" w:sz="0" w:space="0" w:color="auto"/>
                                <w:right w:val="none" w:sz="0" w:space="0" w:color="auto"/>
                              </w:divBdr>
                              <w:divsChild>
                                <w:div w:id="5496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637096">
      <w:bodyDiv w:val="1"/>
      <w:marLeft w:val="0"/>
      <w:marRight w:val="0"/>
      <w:marTop w:val="0"/>
      <w:marBottom w:val="0"/>
      <w:divBdr>
        <w:top w:val="none" w:sz="0" w:space="0" w:color="auto"/>
        <w:left w:val="none" w:sz="0" w:space="0" w:color="auto"/>
        <w:bottom w:val="none" w:sz="0" w:space="0" w:color="auto"/>
        <w:right w:val="none" w:sz="0" w:space="0" w:color="auto"/>
      </w:divBdr>
    </w:div>
    <w:div w:id="883758630">
      <w:bodyDiv w:val="1"/>
      <w:marLeft w:val="0"/>
      <w:marRight w:val="0"/>
      <w:marTop w:val="0"/>
      <w:marBottom w:val="0"/>
      <w:divBdr>
        <w:top w:val="none" w:sz="0" w:space="0" w:color="auto"/>
        <w:left w:val="none" w:sz="0" w:space="0" w:color="auto"/>
        <w:bottom w:val="none" w:sz="0" w:space="0" w:color="auto"/>
        <w:right w:val="none" w:sz="0" w:space="0" w:color="auto"/>
      </w:divBdr>
    </w:div>
    <w:div w:id="1367636398">
      <w:bodyDiv w:val="1"/>
      <w:marLeft w:val="0"/>
      <w:marRight w:val="0"/>
      <w:marTop w:val="0"/>
      <w:marBottom w:val="0"/>
      <w:divBdr>
        <w:top w:val="none" w:sz="0" w:space="0" w:color="auto"/>
        <w:left w:val="none" w:sz="0" w:space="0" w:color="auto"/>
        <w:bottom w:val="none" w:sz="0" w:space="0" w:color="auto"/>
        <w:right w:val="none" w:sz="0" w:space="0" w:color="auto"/>
      </w:divBdr>
      <w:divsChild>
        <w:div w:id="1129474024">
          <w:marLeft w:val="0"/>
          <w:marRight w:val="0"/>
          <w:marTop w:val="0"/>
          <w:marBottom w:val="0"/>
          <w:divBdr>
            <w:top w:val="none" w:sz="0" w:space="0" w:color="auto"/>
            <w:left w:val="none" w:sz="0" w:space="0" w:color="auto"/>
            <w:bottom w:val="none" w:sz="0" w:space="0" w:color="auto"/>
            <w:right w:val="none" w:sz="0" w:space="0" w:color="auto"/>
          </w:divBdr>
          <w:divsChild>
            <w:div w:id="995038738">
              <w:marLeft w:val="0"/>
              <w:marRight w:val="0"/>
              <w:marTop w:val="0"/>
              <w:marBottom w:val="0"/>
              <w:divBdr>
                <w:top w:val="none" w:sz="0" w:space="0" w:color="auto"/>
                <w:left w:val="none" w:sz="0" w:space="0" w:color="auto"/>
                <w:bottom w:val="none" w:sz="0" w:space="0" w:color="auto"/>
                <w:right w:val="none" w:sz="0" w:space="0" w:color="auto"/>
              </w:divBdr>
              <w:divsChild>
                <w:div w:id="1053238716">
                  <w:marLeft w:val="0"/>
                  <w:marRight w:val="0"/>
                  <w:marTop w:val="0"/>
                  <w:marBottom w:val="0"/>
                  <w:divBdr>
                    <w:top w:val="none" w:sz="0" w:space="0" w:color="auto"/>
                    <w:left w:val="none" w:sz="0" w:space="0" w:color="auto"/>
                    <w:bottom w:val="none" w:sz="0" w:space="0" w:color="auto"/>
                    <w:right w:val="none" w:sz="0" w:space="0" w:color="auto"/>
                  </w:divBdr>
                  <w:divsChild>
                    <w:div w:id="415633551">
                      <w:marLeft w:val="0"/>
                      <w:marRight w:val="0"/>
                      <w:marTop w:val="0"/>
                      <w:marBottom w:val="0"/>
                      <w:divBdr>
                        <w:top w:val="none" w:sz="0" w:space="0" w:color="auto"/>
                        <w:left w:val="none" w:sz="0" w:space="0" w:color="auto"/>
                        <w:bottom w:val="none" w:sz="0" w:space="0" w:color="auto"/>
                        <w:right w:val="none" w:sz="0" w:space="0" w:color="auto"/>
                      </w:divBdr>
                      <w:divsChild>
                        <w:div w:id="1645546581">
                          <w:marLeft w:val="0"/>
                          <w:marRight w:val="0"/>
                          <w:marTop w:val="0"/>
                          <w:marBottom w:val="0"/>
                          <w:divBdr>
                            <w:top w:val="none" w:sz="0" w:space="0" w:color="auto"/>
                            <w:left w:val="none" w:sz="0" w:space="0" w:color="auto"/>
                            <w:bottom w:val="none" w:sz="0" w:space="0" w:color="auto"/>
                            <w:right w:val="none" w:sz="0" w:space="0" w:color="auto"/>
                          </w:divBdr>
                          <w:divsChild>
                            <w:div w:id="1423182814">
                              <w:marLeft w:val="15"/>
                              <w:marRight w:val="15"/>
                              <w:marTop w:val="15"/>
                              <w:marBottom w:val="15"/>
                              <w:divBdr>
                                <w:top w:val="none" w:sz="0" w:space="0" w:color="auto"/>
                                <w:left w:val="none" w:sz="0" w:space="0" w:color="auto"/>
                                <w:bottom w:val="none" w:sz="0" w:space="0" w:color="auto"/>
                                <w:right w:val="none" w:sz="0" w:space="0" w:color="auto"/>
                              </w:divBdr>
                              <w:divsChild>
                                <w:div w:id="213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750079">
      <w:bodyDiv w:val="1"/>
      <w:marLeft w:val="0"/>
      <w:marRight w:val="0"/>
      <w:marTop w:val="0"/>
      <w:marBottom w:val="0"/>
      <w:divBdr>
        <w:top w:val="none" w:sz="0" w:space="0" w:color="auto"/>
        <w:left w:val="none" w:sz="0" w:space="0" w:color="auto"/>
        <w:bottom w:val="none" w:sz="0" w:space="0" w:color="auto"/>
        <w:right w:val="none" w:sz="0" w:space="0" w:color="auto"/>
      </w:divBdr>
    </w:div>
    <w:div w:id="1857453918">
      <w:bodyDiv w:val="1"/>
      <w:marLeft w:val="0"/>
      <w:marRight w:val="0"/>
      <w:marTop w:val="0"/>
      <w:marBottom w:val="0"/>
      <w:divBdr>
        <w:top w:val="none" w:sz="0" w:space="0" w:color="auto"/>
        <w:left w:val="none" w:sz="0" w:space="0" w:color="auto"/>
        <w:bottom w:val="none" w:sz="0" w:space="0" w:color="auto"/>
        <w:right w:val="none" w:sz="0" w:space="0" w:color="auto"/>
      </w:divBdr>
    </w:div>
    <w:div w:id="2111124167">
      <w:bodyDiv w:val="1"/>
      <w:marLeft w:val="0"/>
      <w:marRight w:val="0"/>
      <w:marTop w:val="0"/>
      <w:marBottom w:val="0"/>
      <w:divBdr>
        <w:top w:val="none" w:sz="0" w:space="0" w:color="auto"/>
        <w:left w:val="none" w:sz="0" w:space="0" w:color="auto"/>
        <w:bottom w:val="none" w:sz="0" w:space="0" w:color="auto"/>
        <w:right w:val="none" w:sz="0" w:space="0" w:color="auto"/>
      </w:divBdr>
      <w:divsChild>
        <w:div w:id="1945765211">
          <w:marLeft w:val="0"/>
          <w:marRight w:val="0"/>
          <w:marTop w:val="0"/>
          <w:marBottom w:val="0"/>
          <w:divBdr>
            <w:top w:val="none" w:sz="0" w:space="0" w:color="auto"/>
            <w:left w:val="none" w:sz="0" w:space="0" w:color="auto"/>
            <w:bottom w:val="none" w:sz="0" w:space="0" w:color="auto"/>
            <w:right w:val="none" w:sz="0" w:space="0" w:color="auto"/>
          </w:divBdr>
          <w:divsChild>
            <w:div w:id="395275808">
              <w:marLeft w:val="0"/>
              <w:marRight w:val="0"/>
              <w:marTop w:val="0"/>
              <w:marBottom w:val="0"/>
              <w:divBdr>
                <w:top w:val="none" w:sz="0" w:space="0" w:color="auto"/>
                <w:left w:val="none" w:sz="0" w:space="0" w:color="auto"/>
                <w:bottom w:val="none" w:sz="0" w:space="0" w:color="auto"/>
                <w:right w:val="none" w:sz="0" w:space="0" w:color="auto"/>
              </w:divBdr>
              <w:divsChild>
                <w:div w:id="1684281666">
                  <w:marLeft w:val="0"/>
                  <w:marRight w:val="0"/>
                  <w:marTop w:val="0"/>
                  <w:marBottom w:val="0"/>
                  <w:divBdr>
                    <w:top w:val="none" w:sz="0" w:space="0" w:color="auto"/>
                    <w:left w:val="none" w:sz="0" w:space="0" w:color="auto"/>
                    <w:bottom w:val="none" w:sz="0" w:space="0" w:color="auto"/>
                    <w:right w:val="none" w:sz="0" w:space="0" w:color="auto"/>
                  </w:divBdr>
                  <w:divsChild>
                    <w:div w:id="912273461">
                      <w:marLeft w:val="0"/>
                      <w:marRight w:val="0"/>
                      <w:marTop w:val="0"/>
                      <w:marBottom w:val="0"/>
                      <w:divBdr>
                        <w:top w:val="none" w:sz="0" w:space="0" w:color="auto"/>
                        <w:left w:val="none" w:sz="0" w:space="0" w:color="auto"/>
                        <w:bottom w:val="none" w:sz="0" w:space="0" w:color="auto"/>
                        <w:right w:val="none" w:sz="0" w:space="0" w:color="auto"/>
                      </w:divBdr>
                      <w:divsChild>
                        <w:div w:id="1501433538">
                          <w:marLeft w:val="0"/>
                          <w:marRight w:val="0"/>
                          <w:marTop w:val="0"/>
                          <w:marBottom w:val="0"/>
                          <w:divBdr>
                            <w:top w:val="none" w:sz="0" w:space="0" w:color="auto"/>
                            <w:left w:val="none" w:sz="0" w:space="0" w:color="auto"/>
                            <w:bottom w:val="none" w:sz="0" w:space="0" w:color="auto"/>
                            <w:right w:val="none" w:sz="0" w:space="0" w:color="auto"/>
                          </w:divBdr>
                          <w:divsChild>
                            <w:div w:id="2124497720">
                              <w:marLeft w:val="15"/>
                              <w:marRight w:val="15"/>
                              <w:marTop w:val="15"/>
                              <w:marBottom w:val="15"/>
                              <w:divBdr>
                                <w:top w:val="none" w:sz="0" w:space="0" w:color="auto"/>
                                <w:left w:val="none" w:sz="0" w:space="0" w:color="auto"/>
                                <w:bottom w:val="none" w:sz="0" w:space="0" w:color="auto"/>
                                <w:right w:val="none" w:sz="0" w:space="0" w:color="auto"/>
                              </w:divBdr>
                              <w:divsChild>
                                <w:div w:id="14389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16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hrc-crsh.gc.ca/about-au_sujet/policies-politiques/statements-enonces/list_eligible_institutions-liste_etablissements-admissibles-eng.aspx" TargetMode="External"/><Relationship Id="rId13" Type="http://schemas.openxmlformats.org/officeDocument/2006/relationships/hyperlink" Target="http://www.sshrc-crsh.gc.ca/funding-financement/programs-programmes/insight_grants-subventions_savoir-eng.aspx" TargetMode="External"/><Relationship Id="rId18" Type="http://schemas.openxmlformats.org/officeDocument/2006/relationships/hyperlink" Target="mailto:ferrism@queensu.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serc-crsng.gc.ca/InterAgency-Interorganismes/TAFA-AFTO/index_eng.asp" TargetMode="External"/><Relationship Id="rId17" Type="http://schemas.openxmlformats.org/officeDocument/2006/relationships/hyperlink" Target="http://www.sshrc-crsh.gc.ca/funding-financement/programs-programmes/partnership_development_grants-subventions_partenariat_developpement-eng.aspx" TargetMode="External"/><Relationship Id="rId2" Type="http://schemas.openxmlformats.org/officeDocument/2006/relationships/numbering" Target="numbering.xml"/><Relationship Id="rId16" Type="http://schemas.openxmlformats.org/officeDocument/2006/relationships/hyperlink" Target="http://www.sshrc-crsh.gc.ca/funding-financement/programs-programmes/partnership_engage_grants-subventions_d_engagement_partenarial-eng.aspx?pedisable=tru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G@sshrc-crsh.gc.ca" TargetMode="External"/><Relationship Id="rId5" Type="http://schemas.openxmlformats.org/officeDocument/2006/relationships/webSettings" Target="webSettings.xml"/><Relationship Id="rId15" Type="http://schemas.openxmlformats.org/officeDocument/2006/relationships/hyperlink" Target="http://www.sshrc-crsh.gc.ca/funding-financement/programs-programmes/connection_grants-subventions_connexion-eng.aspx" TargetMode="External"/><Relationship Id="rId10" Type="http://schemas.openxmlformats.org/officeDocument/2006/relationships/hyperlink" Target="http://www.sshrc-crsh.gc.ca/funding-financement/apply-demande/background-renseignements/selecting_agency-choisir_organisme_subventionnaire-eng.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shrc-crsh.gc.ca/funding-financement/apply-demande/background-renseignements/selecting_agency-choisir_organisme_subventionnaire-eng.aspx" TargetMode="External"/><Relationship Id="rId14" Type="http://schemas.openxmlformats.org/officeDocument/2006/relationships/hyperlink" Target="http://www.sshrc-crsh.gc.ca/funding-financement/programs-programmes/insight_development_grants-subventions_de_developpement_savoir-eng.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38F15-C412-42BA-8D04-5068557F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Vera Milbradt</dc:creator>
  <cp:lastModifiedBy>Jason Schmelzle</cp:lastModifiedBy>
  <cp:revision>31</cp:revision>
  <cp:lastPrinted>2018-09-26T20:16:00Z</cp:lastPrinted>
  <dcterms:created xsi:type="dcterms:W3CDTF">2018-09-26T20:07:00Z</dcterms:created>
  <dcterms:modified xsi:type="dcterms:W3CDTF">2021-05-19T15:07:00Z</dcterms:modified>
</cp:coreProperties>
</file>